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00"/>
      </w:pPr>
      <w:r>
        <w:rPr>
          <w:rFonts w:ascii="Aptos" w:hAnsi="Aptos"/>
          <w:b/>
          <w:color w:val="18324A"/>
          <w:sz w:val="38"/>
        </w:rPr>
        <w:t>YUNIQ</w:t>
      </w:r>
    </w:p>
    <w:p>
      <w:pPr>
        <w:pStyle w:val="Title"/>
        <w:spacing w:before="360" w:after="280"/>
      </w:pPr>
      <w:r>
        <w:t>Digital Marketing Plan</w:t>
      </w:r>
    </w:p>
    <w:p>
      <w:pPr>
        <w:spacing w:after="560"/>
      </w:pPr>
      <w:r>
        <w:rPr>
          <w:rFonts w:ascii="Aptos" w:hAnsi="Aptos"/>
          <w:b/>
          <w:color w:val="18324A"/>
          <w:sz w:val="30"/>
        </w:rPr>
        <w:t>Three-Month Client Acquisition Campaign  |  October-December 2026</w:t>
      </w:r>
    </w:p>
    <w:tbl>
      <w:tblPr>
        <w:tblW w:type="auto" w:w="0"/>
        <w:jc w:val="center"/>
        <w:tblLayout w:type="fixed"/>
        <w:tblLook w:firstColumn="1" w:firstRow="1" w:lastColumn="0" w:lastRow="0" w:noHBand="0" w:noVBand="1" w:val="04A0"/>
      </w:tblPr>
      <w:tblGrid>
        <w:gridCol w:w="9878"/>
      </w:tblGrid>
      <w:tr>
        <w:trPr>
          <w:cantSplit/>
        </w:trPr>
        <w:tc>
          <w:tcPr>
            <w:tcW w:type="dxa" w:w="9360"/>
            <w:shd w:fill="FFF9CF"/>
            <w:tcMar>
              <w:top w:w="170" w:type="dxa"/>
              <w:start w:w="200" w:type="dxa"/>
              <w:bottom w:w="170" w:type="dxa"/>
              <w:end w:w="200" w:type="dxa"/>
            </w:tcMar>
          </w:tcPr>
          <w:p>
            <w:pPr>
              <w:spacing w:after="100"/>
            </w:pPr>
            <w:r>
              <w:rPr>
                <w:rFonts w:ascii="Aptos" w:hAnsi="Aptos"/>
                <w:b/>
                <w:color w:val="18324A"/>
                <w:sz w:val="22"/>
              </w:rPr>
              <w:t>CAMPAIGN IDEA</w:t>
            </w:r>
          </w:p>
          <w:p>
            <w:pPr>
              <w:spacing w:after="0"/>
            </w:pPr>
            <w:r>
              <w:rPr>
                <w:rFonts w:ascii="Aptos" w:hAnsi="Aptos"/>
                <w:color w:val="252525"/>
                <w:sz w:val="20"/>
              </w:rPr>
              <w:t>Beyond One Community: a practical bilingual visibility campaign that helps Calgary small businesses turn useful social content into qualified consultation leads.</w:t>
            </w:r>
          </w:p>
        </w:tc>
      </w:tr>
    </w:tbl>
    <w:p>
      <w:pPr>
        <w:spacing w:after="40"/>
      </w:pPr>
    </w:p>
    <w:p>
      <w:pPr>
        <w:spacing w:after="1600"/>
      </w:pP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3096"/>
            <w:shd w:fill="F3DF45"/>
            <w:tcMar>
              <w:top w:w="100" w:type="dxa"/>
              <w:start w:w="130" w:type="dxa"/>
              <w:bottom w:w="100" w:type="dxa"/>
              <w:end w:w="130" w:type="dxa"/>
            </w:tcMar>
          </w:tcPr>
          <w:p>
            <w:pPr>
              <w:jc w:val="left"/>
            </w:pPr>
            <w:r>
              <w:rPr>
                <w:rFonts w:ascii="Aptos" w:hAnsi="Aptos"/>
                <w:b/>
                <w:color w:val="18324A"/>
                <w:sz w:val="18"/>
              </w:rPr>
              <w:t>Prepared by</w:t>
            </w:r>
          </w:p>
        </w:tc>
        <w:tc>
          <w:tcPr>
            <w:tcW w:type="dxa" w:w="3240"/>
            <w:shd w:fill="F3DF45"/>
            <w:tcMar>
              <w:top w:w="100" w:type="dxa"/>
              <w:start w:w="130" w:type="dxa"/>
              <w:bottom w:w="100" w:type="dxa"/>
              <w:end w:w="130" w:type="dxa"/>
            </w:tcMar>
          </w:tcPr>
          <w:p>
            <w:pPr>
              <w:jc w:val="left"/>
            </w:pPr>
            <w:r>
              <w:rPr>
                <w:rFonts w:ascii="Aptos" w:hAnsi="Aptos"/>
                <w:b/>
                <w:color w:val="18324A"/>
                <w:sz w:val="18"/>
              </w:rPr>
              <w:t>Program</w:t>
            </w:r>
          </w:p>
        </w:tc>
        <w:tc>
          <w:tcPr>
            <w:tcW w:type="dxa" w:w="3024"/>
            <w:shd w:fill="F3DF45"/>
            <w:tcMar>
              <w:top w:w="100" w:type="dxa"/>
              <w:start w:w="130" w:type="dxa"/>
              <w:bottom w:w="100" w:type="dxa"/>
              <w:end w:w="130" w:type="dxa"/>
            </w:tcMar>
          </w:tcPr>
          <w:p>
            <w:pPr>
              <w:jc w:val="left"/>
            </w:pPr>
            <w:r>
              <w:rPr>
                <w:rFonts w:ascii="Aptos" w:hAnsi="Aptos"/>
                <w:b/>
                <w:color w:val="18324A"/>
                <w:sz w:val="18"/>
              </w:rPr>
              <w:t>Date</w:t>
            </w:r>
          </w:p>
        </w:tc>
      </w:tr>
      <w:tr>
        <w:trPr>
          <w:cantSplit/>
        </w:trPr>
        <w:tc>
          <w:tcPr>
            <w:tcW w:type="dxa" w:w="3096"/>
            <w:tcMar>
              <w:top w:w="100" w:type="dxa"/>
              <w:start w:w="130" w:type="dxa"/>
              <w:bottom w:w="100" w:type="dxa"/>
              <w:end w:w="130" w:type="dxa"/>
            </w:tcMar>
            <w:vAlign w:val="center"/>
          </w:tcPr>
          <w:p>
            <w:pPr>
              <w:spacing w:after="0"/>
            </w:pPr>
            <w:r>
              <w:rPr>
                <w:rFonts w:ascii="Aptos" w:hAnsi="Aptos"/>
                <w:color w:val="252525"/>
                <w:sz w:val="18"/>
              </w:rPr>
              <w:t>Yunjing (Hannah) Zhang</w:t>
            </w:r>
          </w:p>
        </w:tc>
        <w:tc>
          <w:tcPr>
            <w:tcW w:type="dxa" w:w="3240"/>
            <w:tcMar>
              <w:top w:w="100" w:type="dxa"/>
              <w:start w:w="130" w:type="dxa"/>
              <w:bottom w:w="100" w:type="dxa"/>
              <w:end w:w="130" w:type="dxa"/>
            </w:tcMar>
            <w:vAlign w:val="center"/>
          </w:tcPr>
          <w:p>
            <w:pPr>
              <w:spacing w:after="0"/>
            </w:pPr>
            <w:r>
              <w:rPr>
                <w:rFonts w:ascii="Aptos" w:hAnsi="Aptos"/>
                <w:color w:val="252525"/>
                <w:sz w:val="18"/>
              </w:rPr>
              <w:t>CIWA Digital Marketing</w:t>
            </w:r>
          </w:p>
        </w:tc>
        <w:tc>
          <w:tcPr>
            <w:tcW w:type="dxa" w:w="3024"/>
            <w:tcMar>
              <w:top w:w="100" w:type="dxa"/>
              <w:start w:w="130" w:type="dxa"/>
              <w:bottom w:w="100" w:type="dxa"/>
              <w:end w:w="130" w:type="dxa"/>
            </w:tcMar>
            <w:vAlign w:val="center"/>
          </w:tcPr>
          <w:p>
            <w:pPr>
              <w:spacing w:after="0"/>
            </w:pPr>
            <w:r>
              <w:rPr>
                <w:rFonts w:ascii="Aptos" w:hAnsi="Aptos"/>
                <w:color w:val="252525"/>
                <w:sz w:val="18"/>
              </w:rPr>
              <w:t>September 1, 2026</w:t>
            </w:r>
          </w:p>
        </w:tc>
      </w:tr>
    </w:tbl>
    <w:p>
      <w:pPr>
        <w:spacing w:after="20"/>
      </w:pPr>
    </w:p>
    <w:p>
      <w:pPr>
        <w:spacing w:before="360"/>
      </w:pPr>
      <w:r>
        <w:rPr>
          <w:rFonts w:ascii="Aptos" w:hAnsi="Aptos"/>
          <w:color w:val="6C6762"/>
          <w:sz w:val="17"/>
        </w:rPr>
        <w:t>Prepared for academic purposes. All projections are campaign targets, not historical results.</w:t>
      </w:r>
    </w:p>
    <w:p>
      <w:r>
        <w:br w:type="page"/>
      </w:r>
    </w:p>
    <w:p>
      <w:pPr>
        <w:keepNext/>
        <w:spacing w:after="60"/>
      </w:pPr>
      <w:r>
        <w:rPr>
          <w:rFonts w:ascii="Aptos" w:hAnsi="Aptos"/>
          <w:b/>
          <w:color w:val="18324A"/>
          <w:sz w:val="18"/>
        </w:rPr>
        <w:t>EXECUTIVE OVERVIEW</w:t>
      </w:r>
    </w:p>
    <w:p>
      <w:pPr>
        <w:pStyle w:val="Heading1"/>
      </w:pPr>
      <w:r>
        <w:t>Plan at a Glance</w:t>
      </w:r>
    </w:p>
    <w:p>
      <w:pPr>
        <w:spacing w:after="140" w:line="271" w:lineRule="auto"/>
      </w:pPr>
      <w:r>
        <w:rPr>
          <w:rFonts w:ascii="Aptos" w:hAnsi="Aptos"/>
          <w:color w:val="252525"/>
        </w:rPr>
        <w:t>Yuniq is a Calgary-based creator-commerce and digital marketing brand designed to help local small businesses reach customers beyond one familiar community. Its advantage is not simply translation. Yuniq combines bilingual cultural insight, short-form storytelling, creator-style production, and practical measurement so small business owners can communicate clearly across English-language and Chinese-language digital spaces.</w:t>
      </w:r>
    </w:p>
    <w:tbl>
      <w:tblPr>
        <w:tblW w:type="auto" w:w="0"/>
        <w:jc w:val="center"/>
        <w:tblLayout w:type="fixed"/>
        <w:tblLook w:firstColumn="1" w:firstRow="1" w:lastColumn="0" w:lastRow="0" w:noHBand="0" w:noVBand="1" w:val="04A0"/>
      </w:tblPr>
      <w:tblGrid>
        <w:gridCol w:w="9878"/>
      </w:tblGrid>
      <w:tr>
        <w:trPr>
          <w:cantSplit/>
        </w:trPr>
        <w:tc>
          <w:tcPr>
            <w:tcW w:type="dxa" w:w="9360"/>
            <w:shd w:fill="FFF9CF"/>
            <w:tcMar>
              <w:top w:w="170" w:type="dxa"/>
              <w:start w:w="200" w:type="dxa"/>
              <w:bottom w:w="170" w:type="dxa"/>
              <w:end w:w="200" w:type="dxa"/>
            </w:tcMar>
          </w:tcPr>
          <w:p>
            <w:pPr>
              <w:spacing w:after="100"/>
            </w:pPr>
            <w:r>
              <w:rPr>
                <w:rFonts w:ascii="Aptos" w:hAnsi="Aptos"/>
                <w:b/>
                <w:color w:val="18324A"/>
                <w:sz w:val="22"/>
              </w:rPr>
              <w:t>PRIMARY SMART OBJECTIVE</w:t>
            </w:r>
          </w:p>
          <w:p>
            <w:pPr>
              <w:spacing w:after="0"/>
            </w:pPr>
            <w:r>
              <w:rPr>
                <w:rFonts w:ascii="Aptos" w:hAnsi="Aptos"/>
                <w:color w:val="252525"/>
                <w:sz w:val="20"/>
              </w:rPr>
              <w:t>Between October 1 and December 31, 2026, the Beyond One Community campaign will generate 15 qualified consultation leads from Calgary-area small businesses and convert at least 3 of those leads into paid pilot clients through a bilingual lead magnet, short-form content, email nurturing, and a free 20-minute visibility check.</w:t>
            </w:r>
          </w:p>
        </w:tc>
      </w:tr>
    </w:tbl>
    <w:p>
      <w:pPr>
        <w:spacing w:after="40"/>
      </w:pPr>
    </w:p>
    <w:tbl>
      <w:tblPr>
        <w:tblStyle w:val="TableGrid"/>
        <w:tblW w:type="auto" w:w="0"/>
        <w:jc w:val="center"/>
        <w:tblLayout w:type="fixed"/>
        <w:tblLook w:firstColumn="1" w:firstRow="1" w:lastColumn="0" w:lastRow="0" w:noHBand="0" w:noVBand="1" w:val="04A0"/>
      </w:tblPr>
      <w:tblGrid>
        <w:gridCol w:w="2469"/>
        <w:gridCol w:w="2469"/>
        <w:gridCol w:w="2469"/>
        <w:gridCol w:w="2469"/>
      </w:tblGrid>
      <w:tr>
        <w:trPr>
          <w:tblHeader w:val="true"/>
          <w:cantSplit/>
        </w:trPr>
        <w:tc>
          <w:tcPr>
            <w:tcW w:type="dxa" w:w="2088"/>
            <w:shd w:fill="F3DF45"/>
            <w:tcMar>
              <w:top w:w="100" w:type="dxa"/>
              <w:start w:w="130" w:type="dxa"/>
              <w:bottom w:w="100" w:type="dxa"/>
              <w:end w:w="130" w:type="dxa"/>
            </w:tcMar>
          </w:tcPr>
          <w:p>
            <w:pPr>
              <w:jc w:val="left"/>
            </w:pPr>
            <w:r>
              <w:rPr>
                <w:rFonts w:ascii="Aptos" w:hAnsi="Aptos"/>
                <w:b/>
                <w:color w:val="18324A"/>
                <w:sz w:val="16"/>
              </w:rPr>
              <w:t>Campaign</w:t>
            </w:r>
          </w:p>
        </w:tc>
        <w:tc>
          <w:tcPr>
            <w:tcW w:type="dxa" w:w="3168"/>
            <w:shd w:fill="F3DF45"/>
            <w:tcMar>
              <w:top w:w="100" w:type="dxa"/>
              <w:start w:w="130" w:type="dxa"/>
              <w:bottom w:w="100" w:type="dxa"/>
              <w:end w:w="130" w:type="dxa"/>
            </w:tcMar>
          </w:tcPr>
          <w:p>
            <w:pPr>
              <w:jc w:val="left"/>
            </w:pPr>
            <w:r>
              <w:rPr>
                <w:rFonts w:ascii="Aptos" w:hAnsi="Aptos"/>
                <w:b/>
                <w:color w:val="18324A"/>
                <w:sz w:val="16"/>
              </w:rPr>
              <w:t>Audience</w:t>
            </w:r>
          </w:p>
        </w:tc>
        <w:tc>
          <w:tcPr>
            <w:tcW w:type="dxa" w:w="2808"/>
            <w:shd w:fill="F3DF45"/>
            <w:tcMar>
              <w:top w:w="100" w:type="dxa"/>
              <w:start w:w="130" w:type="dxa"/>
              <w:bottom w:w="100" w:type="dxa"/>
              <w:end w:w="130" w:type="dxa"/>
            </w:tcMar>
          </w:tcPr>
          <w:p>
            <w:pPr>
              <w:jc w:val="left"/>
            </w:pPr>
            <w:r>
              <w:rPr>
                <w:rFonts w:ascii="Aptos" w:hAnsi="Aptos"/>
                <w:b/>
                <w:color w:val="18324A"/>
                <w:sz w:val="16"/>
              </w:rPr>
              <w:t>Core offer</w:t>
            </w:r>
          </w:p>
        </w:tc>
        <w:tc>
          <w:tcPr>
            <w:tcW w:type="dxa" w:w="2232"/>
            <w:shd w:fill="F3DF45"/>
            <w:tcMar>
              <w:top w:w="100" w:type="dxa"/>
              <w:start w:w="130" w:type="dxa"/>
              <w:bottom w:w="100" w:type="dxa"/>
              <w:end w:w="130" w:type="dxa"/>
            </w:tcMar>
          </w:tcPr>
          <w:p>
            <w:pPr>
              <w:jc w:val="left"/>
            </w:pPr>
            <w:r>
              <w:rPr>
                <w:rFonts w:ascii="Aptos" w:hAnsi="Aptos"/>
                <w:b/>
                <w:color w:val="18324A"/>
                <w:sz w:val="16"/>
              </w:rPr>
              <w:t>Primary CTA</w:t>
            </w:r>
          </w:p>
        </w:tc>
      </w:tr>
      <w:tr>
        <w:trPr>
          <w:cantSplit/>
        </w:trPr>
        <w:tc>
          <w:tcPr>
            <w:tcW w:type="dxa" w:w="2088"/>
            <w:tcMar>
              <w:top w:w="100" w:type="dxa"/>
              <w:start w:w="130" w:type="dxa"/>
              <w:bottom w:w="100" w:type="dxa"/>
              <w:end w:w="130" w:type="dxa"/>
            </w:tcMar>
            <w:vAlign w:val="center"/>
          </w:tcPr>
          <w:p>
            <w:pPr>
              <w:spacing w:after="0"/>
            </w:pPr>
            <w:r>
              <w:rPr>
                <w:rFonts w:ascii="Aptos" w:hAnsi="Aptos"/>
                <w:color w:val="252525"/>
                <w:sz w:val="16"/>
              </w:rPr>
              <w:t>Beyond One Community</w:t>
            </w:r>
          </w:p>
        </w:tc>
        <w:tc>
          <w:tcPr>
            <w:tcW w:type="dxa" w:w="3168"/>
            <w:tcMar>
              <w:top w:w="100" w:type="dxa"/>
              <w:start w:w="130" w:type="dxa"/>
              <w:bottom w:w="100" w:type="dxa"/>
              <w:end w:w="130" w:type="dxa"/>
            </w:tcMar>
            <w:vAlign w:val="center"/>
          </w:tcPr>
          <w:p>
            <w:pPr>
              <w:spacing w:after="0"/>
            </w:pPr>
            <w:r>
              <w:rPr>
                <w:rFonts w:ascii="Aptos" w:hAnsi="Aptos"/>
                <w:color w:val="252525"/>
                <w:sz w:val="16"/>
              </w:rPr>
              <w:t>Time-poor Calgary small business owners, especially immigrant-led food, retail and service brands</w:t>
            </w:r>
          </w:p>
        </w:tc>
        <w:tc>
          <w:tcPr>
            <w:tcW w:type="dxa" w:w="2808"/>
            <w:tcMar>
              <w:top w:w="100" w:type="dxa"/>
              <w:start w:w="130" w:type="dxa"/>
              <w:bottom w:w="100" w:type="dxa"/>
              <w:end w:w="130" w:type="dxa"/>
            </w:tcMar>
            <w:vAlign w:val="center"/>
          </w:tcPr>
          <w:p>
            <w:pPr>
              <w:spacing w:after="0"/>
            </w:pPr>
            <w:r>
              <w:rPr>
                <w:rFonts w:ascii="Aptos" w:hAnsi="Aptos"/>
                <w:color w:val="252525"/>
                <w:sz w:val="16"/>
              </w:rPr>
              <w:t>A practical path from unclear content to measurable local visibility</w:t>
            </w:r>
          </w:p>
        </w:tc>
        <w:tc>
          <w:tcPr>
            <w:tcW w:type="dxa" w:w="2232"/>
            <w:tcMar>
              <w:top w:w="100" w:type="dxa"/>
              <w:start w:w="130" w:type="dxa"/>
              <w:bottom w:w="100" w:type="dxa"/>
              <w:end w:w="130" w:type="dxa"/>
            </w:tcMar>
            <w:vAlign w:val="center"/>
          </w:tcPr>
          <w:p>
            <w:pPr>
              <w:spacing w:after="0"/>
            </w:pPr>
            <w:r>
              <w:rPr>
                <w:rFonts w:ascii="Aptos" w:hAnsi="Aptos"/>
                <w:color w:val="252525"/>
                <w:sz w:val="16"/>
              </w:rPr>
              <w:t>Book a free 20-minute Visibility Check</w:t>
            </w:r>
          </w:p>
        </w:tc>
      </w:tr>
    </w:tbl>
    <w:p>
      <w:pPr>
        <w:spacing w:after="20"/>
      </w:pPr>
    </w:p>
    <w:p>
      <w:pPr>
        <w:pStyle w:val="Heading2"/>
      </w:pPr>
      <w:r>
        <w:t>Contents</w:t>
      </w:r>
    </w:p>
    <w:tbl>
      <w:tblPr>
        <w:tblStyle w:val="TableGrid"/>
        <w:tblW w:type="auto" w:w="0"/>
        <w:jc w:val="center"/>
        <w:tblLayout w:type="fixed"/>
        <w:tblLook w:firstColumn="1" w:firstRow="1" w:lastColumn="0" w:lastRow="0" w:noHBand="0" w:noVBand="1" w:val="04A0"/>
      </w:tblPr>
      <w:tblGrid>
        <w:gridCol w:w="4939"/>
        <w:gridCol w:w="4939"/>
      </w:tblGrid>
      <w:tr>
        <w:trPr>
          <w:tblHeader w:val="true"/>
          <w:cantSplit/>
        </w:trPr>
        <w:tc>
          <w:tcPr>
            <w:tcW w:type="dxa" w:w="3168"/>
            <w:shd w:fill="F3DF45"/>
            <w:tcMar>
              <w:top w:w="100" w:type="dxa"/>
              <w:start w:w="130" w:type="dxa"/>
              <w:bottom w:w="100" w:type="dxa"/>
              <w:end w:w="130" w:type="dxa"/>
            </w:tcMar>
          </w:tcPr>
          <w:p>
            <w:pPr>
              <w:jc w:val="left"/>
            </w:pPr>
            <w:r>
              <w:rPr>
                <w:rFonts w:ascii="Aptos" w:hAnsi="Aptos"/>
                <w:b/>
                <w:color w:val="18324A"/>
                <w:sz w:val="18"/>
              </w:rPr>
              <w:t>Section</w:t>
            </w:r>
          </w:p>
        </w:tc>
        <w:tc>
          <w:tcPr>
            <w:tcW w:type="dxa" w:w="7128"/>
            <w:shd w:fill="F3DF45"/>
            <w:tcMar>
              <w:top w:w="100" w:type="dxa"/>
              <w:start w:w="130" w:type="dxa"/>
              <w:bottom w:w="100" w:type="dxa"/>
              <w:end w:w="130" w:type="dxa"/>
            </w:tcMar>
          </w:tcPr>
          <w:p>
            <w:pPr>
              <w:jc w:val="left"/>
            </w:pPr>
            <w:r>
              <w:rPr>
                <w:rFonts w:ascii="Aptos" w:hAnsi="Aptos"/>
                <w:b/>
                <w:color w:val="18324A"/>
                <w:sz w:val="18"/>
              </w:rPr>
              <w:t>What it covers</w:t>
            </w:r>
          </w:p>
        </w:tc>
      </w:tr>
      <w:tr>
        <w:trPr>
          <w:cantSplit/>
        </w:trPr>
        <w:tc>
          <w:tcPr>
            <w:tcW w:type="dxa" w:w="3168"/>
            <w:tcMar>
              <w:top w:w="100" w:type="dxa"/>
              <w:start w:w="130" w:type="dxa"/>
              <w:bottom w:w="100" w:type="dxa"/>
              <w:end w:w="130" w:type="dxa"/>
            </w:tcMar>
            <w:vAlign w:val="center"/>
          </w:tcPr>
          <w:p>
            <w:pPr>
              <w:spacing w:after="0"/>
            </w:pPr>
            <w:r>
              <w:rPr>
                <w:rFonts w:ascii="Aptos" w:hAnsi="Aptos"/>
                <w:color w:val="252525"/>
                <w:sz w:val="18"/>
              </w:rPr>
              <w:t>1. Introduction and Objectives</w:t>
            </w:r>
          </w:p>
        </w:tc>
        <w:tc>
          <w:tcPr>
            <w:tcW w:type="dxa" w:w="7128"/>
            <w:tcMar>
              <w:top w:w="100" w:type="dxa"/>
              <w:start w:w="130" w:type="dxa"/>
              <w:bottom w:w="100" w:type="dxa"/>
              <w:end w:w="130" w:type="dxa"/>
            </w:tcMar>
            <w:vAlign w:val="center"/>
          </w:tcPr>
          <w:p>
            <w:pPr>
              <w:spacing w:after="0"/>
            </w:pPr>
            <w:r>
              <w:rPr>
                <w:rFonts w:ascii="Aptos" w:hAnsi="Aptos"/>
                <w:color w:val="252525"/>
                <w:sz w:val="18"/>
              </w:rPr>
              <w:t>Company, challenge, goals and SMART targets</w:t>
            </w:r>
          </w:p>
        </w:tc>
      </w:tr>
      <w:tr>
        <w:trPr>
          <w:cantSplit/>
        </w:trPr>
        <w:tc>
          <w:tcPr>
            <w:tcW w:type="dxa" w:w="3168"/>
            <w:tcMar>
              <w:top w:w="100" w:type="dxa"/>
              <w:start w:w="130" w:type="dxa"/>
              <w:bottom w:w="100" w:type="dxa"/>
              <w:end w:w="130" w:type="dxa"/>
            </w:tcMar>
            <w:shd w:fill="F6F3EF"/>
            <w:vAlign w:val="center"/>
          </w:tcPr>
          <w:p>
            <w:pPr>
              <w:spacing w:after="0"/>
            </w:pPr>
            <w:r>
              <w:rPr>
                <w:rFonts w:ascii="Aptos" w:hAnsi="Aptos"/>
                <w:color w:val="252525"/>
                <w:sz w:val="18"/>
              </w:rPr>
              <w:t>2. Competitive Analysis</w:t>
            </w:r>
          </w:p>
        </w:tc>
        <w:tc>
          <w:tcPr>
            <w:tcW w:type="dxa" w:w="7128"/>
            <w:tcMar>
              <w:top w:w="100" w:type="dxa"/>
              <w:start w:w="130" w:type="dxa"/>
              <w:bottom w:w="100" w:type="dxa"/>
              <w:end w:w="130" w:type="dxa"/>
            </w:tcMar>
            <w:shd w:fill="F6F3EF"/>
            <w:vAlign w:val="center"/>
          </w:tcPr>
          <w:p>
            <w:pPr>
              <w:spacing w:after="0"/>
            </w:pPr>
            <w:r>
              <w:rPr>
                <w:rFonts w:ascii="Aptos" w:hAnsi="Aptos"/>
                <w:color w:val="252525"/>
                <w:sz w:val="18"/>
              </w:rPr>
              <w:t>URBA and Full Blast Creative; market gap for Yuniq</w:t>
            </w:r>
          </w:p>
        </w:tc>
      </w:tr>
      <w:tr>
        <w:trPr>
          <w:cantSplit/>
        </w:trPr>
        <w:tc>
          <w:tcPr>
            <w:tcW w:type="dxa" w:w="3168"/>
            <w:tcMar>
              <w:top w:w="100" w:type="dxa"/>
              <w:start w:w="130" w:type="dxa"/>
              <w:bottom w:w="100" w:type="dxa"/>
              <w:end w:w="130" w:type="dxa"/>
            </w:tcMar>
            <w:vAlign w:val="center"/>
          </w:tcPr>
          <w:p>
            <w:pPr>
              <w:spacing w:after="0"/>
            </w:pPr>
            <w:r>
              <w:rPr>
                <w:rFonts w:ascii="Aptos" w:hAnsi="Aptos"/>
                <w:color w:val="252525"/>
                <w:sz w:val="18"/>
              </w:rPr>
              <w:t>3. Customer Persona</w:t>
            </w:r>
          </w:p>
        </w:tc>
        <w:tc>
          <w:tcPr>
            <w:tcW w:type="dxa" w:w="7128"/>
            <w:tcMar>
              <w:top w:w="100" w:type="dxa"/>
              <w:start w:w="130" w:type="dxa"/>
              <w:bottom w:w="100" w:type="dxa"/>
              <w:end w:w="130" w:type="dxa"/>
            </w:tcMar>
            <w:vAlign w:val="center"/>
          </w:tcPr>
          <w:p>
            <w:pPr>
              <w:spacing w:after="0"/>
            </w:pPr>
            <w:r>
              <w:rPr>
                <w:rFonts w:ascii="Aptos" w:hAnsi="Aptos"/>
                <w:color w:val="252525"/>
                <w:sz w:val="18"/>
              </w:rPr>
              <w:t>David Wong, needs, barriers, journey and Yuniq USP</w:t>
            </w:r>
          </w:p>
        </w:tc>
      </w:tr>
      <w:tr>
        <w:trPr>
          <w:cantSplit/>
        </w:trPr>
        <w:tc>
          <w:tcPr>
            <w:tcW w:type="dxa" w:w="3168"/>
            <w:tcMar>
              <w:top w:w="100" w:type="dxa"/>
              <w:start w:w="130" w:type="dxa"/>
              <w:bottom w:w="100" w:type="dxa"/>
              <w:end w:w="130" w:type="dxa"/>
            </w:tcMar>
            <w:shd w:fill="F6F3EF"/>
            <w:vAlign w:val="center"/>
          </w:tcPr>
          <w:p>
            <w:pPr>
              <w:spacing w:after="0"/>
            </w:pPr>
            <w:r>
              <w:rPr>
                <w:rFonts w:ascii="Aptos" w:hAnsi="Aptos"/>
                <w:color w:val="252525"/>
                <w:sz w:val="18"/>
              </w:rPr>
              <w:t>4. Media Channels</w:t>
            </w:r>
          </w:p>
        </w:tc>
        <w:tc>
          <w:tcPr>
            <w:tcW w:type="dxa" w:w="7128"/>
            <w:tcMar>
              <w:top w:w="100" w:type="dxa"/>
              <w:start w:w="130" w:type="dxa"/>
              <w:bottom w:w="100" w:type="dxa"/>
              <w:end w:w="130" w:type="dxa"/>
            </w:tcMar>
            <w:shd w:fill="F6F3EF"/>
            <w:vAlign w:val="center"/>
          </w:tcPr>
          <w:p>
            <w:pPr>
              <w:spacing w:after="0"/>
            </w:pPr>
            <w:r>
              <w:rPr>
                <w:rFonts w:ascii="Aptos" w:hAnsi="Aptos"/>
                <w:color w:val="252525"/>
                <w:sz w:val="18"/>
              </w:rPr>
              <w:t>Owned, shared, paid and earned channel roles</w:t>
            </w:r>
          </w:p>
        </w:tc>
      </w:tr>
      <w:tr>
        <w:trPr>
          <w:cantSplit/>
        </w:trPr>
        <w:tc>
          <w:tcPr>
            <w:tcW w:type="dxa" w:w="3168"/>
            <w:tcMar>
              <w:top w:w="100" w:type="dxa"/>
              <w:start w:w="130" w:type="dxa"/>
              <w:bottom w:w="100" w:type="dxa"/>
              <w:end w:w="130" w:type="dxa"/>
            </w:tcMar>
            <w:vAlign w:val="center"/>
          </w:tcPr>
          <w:p>
            <w:pPr>
              <w:spacing w:after="0"/>
            </w:pPr>
            <w:r>
              <w:rPr>
                <w:rFonts w:ascii="Aptos" w:hAnsi="Aptos"/>
                <w:color w:val="252525"/>
                <w:sz w:val="18"/>
              </w:rPr>
              <w:t>5. Campaign Overview</w:t>
            </w:r>
          </w:p>
        </w:tc>
        <w:tc>
          <w:tcPr>
            <w:tcW w:type="dxa" w:w="7128"/>
            <w:tcMar>
              <w:top w:w="100" w:type="dxa"/>
              <w:start w:w="130" w:type="dxa"/>
              <w:bottom w:w="100" w:type="dxa"/>
              <w:end w:w="130" w:type="dxa"/>
            </w:tcMar>
            <w:vAlign w:val="center"/>
          </w:tcPr>
          <w:p>
            <w:pPr>
              <w:spacing w:after="0"/>
            </w:pPr>
            <w:r>
              <w:rPr>
                <w:rFonts w:ascii="Aptos" w:hAnsi="Aptos"/>
                <w:color w:val="252525"/>
                <w:sz w:val="18"/>
              </w:rPr>
              <w:t>Acquisition strategy, message, offer, CTA and funnel</w:t>
            </w:r>
          </w:p>
        </w:tc>
      </w:tr>
      <w:tr>
        <w:trPr>
          <w:cantSplit/>
        </w:trPr>
        <w:tc>
          <w:tcPr>
            <w:tcW w:type="dxa" w:w="3168"/>
            <w:tcMar>
              <w:top w:w="100" w:type="dxa"/>
              <w:start w:w="130" w:type="dxa"/>
              <w:bottom w:w="100" w:type="dxa"/>
              <w:end w:w="130" w:type="dxa"/>
            </w:tcMar>
            <w:shd w:fill="F6F3EF"/>
            <w:vAlign w:val="center"/>
          </w:tcPr>
          <w:p>
            <w:pPr>
              <w:spacing w:after="0"/>
            </w:pPr>
            <w:r>
              <w:rPr>
                <w:rFonts w:ascii="Aptos" w:hAnsi="Aptos"/>
                <w:color w:val="252525"/>
                <w:sz w:val="18"/>
              </w:rPr>
              <w:t>6. Creative and Execution</w:t>
            </w:r>
          </w:p>
        </w:tc>
        <w:tc>
          <w:tcPr>
            <w:tcW w:type="dxa" w:w="7128"/>
            <w:tcMar>
              <w:top w:w="100" w:type="dxa"/>
              <w:start w:w="130" w:type="dxa"/>
              <w:bottom w:w="100" w:type="dxa"/>
              <w:end w:w="130" w:type="dxa"/>
            </w:tcMar>
            <w:shd w:fill="F6F3EF"/>
            <w:vAlign w:val="center"/>
          </w:tcPr>
          <w:p>
            <w:pPr>
              <w:spacing w:after="0"/>
            </w:pPr>
            <w:r>
              <w:rPr>
                <w:rFonts w:ascii="Aptos" w:hAnsi="Aptos"/>
                <w:color w:val="252525"/>
                <w:sz w:val="18"/>
              </w:rPr>
              <w:t>Tactics, mockups, schedule, budget and measurement</w:t>
            </w:r>
          </w:p>
        </w:tc>
      </w:tr>
      <w:tr>
        <w:trPr>
          <w:cantSplit/>
        </w:trPr>
        <w:tc>
          <w:tcPr>
            <w:tcW w:type="dxa" w:w="3168"/>
            <w:tcMar>
              <w:top w:w="100" w:type="dxa"/>
              <w:start w:w="130" w:type="dxa"/>
              <w:bottom w:w="100" w:type="dxa"/>
              <w:end w:w="130" w:type="dxa"/>
            </w:tcMar>
            <w:vAlign w:val="center"/>
          </w:tcPr>
          <w:p>
            <w:pPr>
              <w:spacing w:after="0"/>
            </w:pPr>
            <w:r>
              <w:rPr>
                <w:rFonts w:ascii="Aptos" w:hAnsi="Aptos"/>
                <w:color w:val="252525"/>
                <w:sz w:val="18"/>
              </w:rPr>
              <w:t>7. Conclusion</w:t>
            </w:r>
          </w:p>
        </w:tc>
        <w:tc>
          <w:tcPr>
            <w:tcW w:type="dxa" w:w="7128"/>
            <w:tcMar>
              <w:top w:w="100" w:type="dxa"/>
              <w:start w:w="130" w:type="dxa"/>
              <w:bottom w:w="100" w:type="dxa"/>
              <w:end w:w="130" w:type="dxa"/>
            </w:tcMar>
            <w:vAlign w:val="center"/>
          </w:tcPr>
          <w:p>
            <w:pPr>
              <w:spacing w:after="0"/>
            </w:pPr>
            <w:r>
              <w:rPr>
                <w:rFonts w:ascii="Aptos" w:hAnsi="Aptos"/>
                <w:color w:val="252525"/>
                <w:sz w:val="18"/>
              </w:rPr>
              <w:t>Why the plan can achieve its objectives</w:t>
            </w:r>
          </w:p>
        </w:tc>
      </w:tr>
    </w:tbl>
    <w:p>
      <w:pPr>
        <w:spacing w:after="20"/>
      </w:pPr>
    </w:p>
    <w:p>
      <w:r>
        <w:br w:type="page"/>
      </w:r>
    </w:p>
    <w:p>
      <w:pPr>
        <w:keepNext/>
        <w:spacing w:after="60"/>
      </w:pPr>
      <w:r>
        <w:rPr>
          <w:rFonts w:ascii="Aptos" w:hAnsi="Aptos"/>
          <w:b/>
          <w:color w:val="18324A"/>
          <w:sz w:val="18"/>
        </w:rPr>
        <w:t>STRATEGY</w:t>
      </w:r>
    </w:p>
    <w:p>
      <w:pPr>
        <w:pStyle w:val="Heading1"/>
      </w:pPr>
      <w:r>
        <w:t>1. Introduction and Digital Marketing Objectives</w:t>
      </w:r>
    </w:p>
    <w:p>
      <w:pPr>
        <w:pStyle w:val="Heading2"/>
      </w:pPr>
      <w:r>
        <w:t>Company introduction</w:t>
      </w:r>
    </w:p>
    <w:p>
      <w:pPr>
        <w:spacing w:after="140" w:line="271" w:lineRule="auto"/>
      </w:pPr>
      <w:r>
        <w:rPr>
          <w:rFonts w:ascii="Aptos" w:hAnsi="Aptos"/>
          <w:color w:val="252525"/>
        </w:rPr>
        <w:t>Yuniq is an emerging Calgary digital marketing and creator-commerce brand. It supports local restaurants, retailers and service businesses that have a strong product but limited time, confidence or in-house resources for digital marketing. The brand promise is “Grow your brand beyond one community.” Yuniq helps clients communicate with both mainstream Calgary audiences and Chinese-speaking communities through short-form video, social media storytelling, content planning, local SEO thinking and creator partnerships.</w:t>
      </w:r>
    </w:p>
    <w:p>
      <w:pPr>
        <w:spacing w:after="140" w:line="271" w:lineRule="auto"/>
      </w:pPr>
      <w:r>
        <w:rPr>
          <w:rFonts w:ascii="Aptos" w:hAnsi="Aptos"/>
          <w:color w:val="252525"/>
        </w:rPr>
        <w:t>The immediate business need is predictable client acquisition. Awareness alone is not enough for a new service brand: the campaign must create a clear path from discovering Yuniq, to receiving useful value, to booking a conversation, and finally to testing a paid service.</w:t>
      </w:r>
    </w:p>
    <w:p>
      <w:pPr>
        <w:pStyle w:val="Heading2"/>
      </w:pPr>
      <w:r>
        <w:t>Overall marketing goals</w:t>
      </w:r>
    </w:p>
    <w:p>
      <w:pPr>
        <w:pStyle w:val="ListBullet"/>
        <w:spacing w:after="80" w:line="259" w:lineRule="auto"/>
      </w:pPr>
      <w:r>
        <w:rPr>
          <w:rFonts w:ascii="Aptos" w:hAnsi="Aptos"/>
          <w:color w:val="252525"/>
        </w:rPr>
        <w:t>Build trust by demonstrating useful, culturally aware marketing expertise rather than relying on hard-sell advertising.</w:t>
      </w:r>
    </w:p>
    <w:p>
      <w:pPr>
        <w:pStyle w:val="ListBullet"/>
        <w:spacing w:after="80" w:line="259" w:lineRule="auto"/>
      </w:pPr>
      <w:r>
        <w:rPr>
          <w:rFonts w:ascii="Aptos" w:hAnsi="Aptos"/>
          <w:color w:val="252525"/>
        </w:rPr>
        <w:t>Create an owned audience through email so Yuniq is not dependent only on social algorithms.</w:t>
      </w:r>
    </w:p>
    <w:p>
      <w:pPr>
        <w:pStyle w:val="ListBullet"/>
        <w:spacing w:after="80" w:line="259" w:lineRule="auto"/>
      </w:pPr>
      <w:r>
        <w:rPr>
          <w:rFonts w:ascii="Aptos" w:hAnsi="Aptos"/>
          <w:color w:val="252525"/>
        </w:rPr>
        <w:t>Generate qualified conversations with local decision-makers who have a real visibility problem and an achievable marketing need.</w:t>
      </w:r>
    </w:p>
    <w:p>
      <w:pPr>
        <w:pStyle w:val="ListBullet"/>
        <w:spacing w:after="80" w:line="259" w:lineRule="auto"/>
      </w:pPr>
      <w:r>
        <w:rPr>
          <w:rFonts w:ascii="Aptos" w:hAnsi="Aptos"/>
          <w:color w:val="252525"/>
        </w:rPr>
        <w:t>Establish a repeatable campaign system that can be improved with UTM, email and consultation data.</w:t>
      </w:r>
    </w:p>
    <w:p>
      <w:pPr>
        <w:pStyle w:val="Heading2"/>
      </w:pPr>
      <w:r>
        <w:t>SMART objectives for October-December 2026</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1800"/>
            <w:shd w:fill="F3DF45"/>
            <w:tcMar>
              <w:top w:w="100" w:type="dxa"/>
              <w:start w:w="130" w:type="dxa"/>
              <w:bottom w:w="100" w:type="dxa"/>
              <w:end w:w="130" w:type="dxa"/>
            </w:tcMar>
          </w:tcPr>
          <w:p>
            <w:pPr>
              <w:jc w:val="left"/>
            </w:pPr>
            <w:r>
              <w:rPr>
                <w:rFonts w:ascii="Aptos" w:hAnsi="Aptos"/>
                <w:b/>
                <w:color w:val="18324A"/>
                <w:sz w:val="16"/>
              </w:rPr>
              <w:t>Objective</w:t>
            </w:r>
          </w:p>
        </w:tc>
        <w:tc>
          <w:tcPr>
            <w:tcW w:type="dxa" w:w="3960"/>
            <w:shd w:fill="F3DF45"/>
            <w:tcMar>
              <w:top w:w="100" w:type="dxa"/>
              <w:start w:w="130" w:type="dxa"/>
              <w:bottom w:w="100" w:type="dxa"/>
              <w:end w:w="130" w:type="dxa"/>
            </w:tcMar>
          </w:tcPr>
          <w:p>
            <w:pPr>
              <w:jc w:val="left"/>
            </w:pPr>
            <w:r>
              <w:rPr>
                <w:rFonts w:ascii="Aptos" w:hAnsi="Aptos"/>
                <w:b/>
                <w:color w:val="18324A"/>
                <w:sz w:val="16"/>
              </w:rPr>
              <w:t>Measure and target</w:t>
            </w:r>
          </w:p>
        </w:tc>
        <w:tc>
          <w:tcPr>
            <w:tcW w:type="dxa" w:w="4536"/>
            <w:shd w:fill="F3DF45"/>
            <w:tcMar>
              <w:top w:w="100" w:type="dxa"/>
              <w:start w:w="130" w:type="dxa"/>
              <w:bottom w:w="100" w:type="dxa"/>
              <w:end w:w="130" w:type="dxa"/>
            </w:tcMar>
          </w:tcPr>
          <w:p>
            <w:pPr>
              <w:jc w:val="left"/>
            </w:pPr>
            <w:r>
              <w:rPr>
                <w:rFonts w:ascii="Aptos" w:hAnsi="Aptos"/>
                <w:b/>
                <w:color w:val="18324A"/>
                <w:sz w:val="16"/>
              </w:rPr>
              <w:t>Why it is SMART</w:t>
            </w:r>
          </w:p>
        </w:tc>
      </w:tr>
      <w:tr>
        <w:trPr>
          <w:cantSplit/>
        </w:trPr>
        <w:tc>
          <w:tcPr>
            <w:tcW w:type="dxa" w:w="1800"/>
            <w:tcMar>
              <w:top w:w="100" w:type="dxa"/>
              <w:start w:w="130" w:type="dxa"/>
              <w:bottom w:w="100" w:type="dxa"/>
              <w:end w:w="130" w:type="dxa"/>
            </w:tcMar>
            <w:vAlign w:val="center"/>
          </w:tcPr>
          <w:p>
            <w:pPr>
              <w:spacing w:after="0"/>
            </w:pPr>
            <w:r>
              <w:rPr>
                <w:rFonts w:ascii="Aptos" w:hAnsi="Aptos"/>
                <w:color w:val="252525"/>
                <w:sz w:val="16"/>
              </w:rPr>
              <w:t>Primary: qualified leads</w:t>
            </w:r>
          </w:p>
        </w:tc>
        <w:tc>
          <w:tcPr>
            <w:tcW w:type="dxa" w:w="3960"/>
            <w:tcMar>
              <w:top w:w="100" w:type="dxa"/>
              <w:start w:w="130" w:type="dxa"/>
              <w:bottom w:w="100" w:type="dxa"/>
              <w:end w:w="130" w:type="dxa"/>
            </w:tcMar>
            <w:vAlign w:val="center"/>
          </w:tcPr>
          <w:p>
            <w:pPr>
              <w:spacing w:after="0"/>
            </w:pPr>
            <w:r>
              <w:rPr>
                <w:rFonts w:ascii="Aptos" w:hAnsi="Aptos"/>
                <w:color w:val="252525"/>
                <w:sz w:val="16"/>
              </w:rPr>
              <w:t>Generate 15 Calgary small-business consultation leads and convert at least 3 into paid pilot clients by Dec. 31.</w:t>
            </w:r>
          </w:p>
        </w:tc>
        <w:tc>
          <w:tcPr>
            <w:tcW w:type="dxa" w:w="4536"/>
            <w:tcMar>
              <w:top w:w="100" w:type="dxa"/>
              <w:start w:w="130" w:type="dxa"/>
              <w:bottom w:w="100" w:type="dxa"/>
              <w:end w:w="130" w:type="dxa"/>
            </w:tcMar>
            <w:vAlign w:val="center"/>
          </w:tcPr>
          <w:p>
            <w:pPr>
              <w:spacing w:after="0"/>
            </w:pPr>
            <w:r>
              <w:rPr>
                <w:rFonts w:ascii="Aptos" w:hAnsi="Aptos"/>
                <w:color w:val="252525"/>
                <w:sz w:val="16"/>
              </w:rPr>
              <w:t>Specific audience and action; measurable in CRM; realistic for a focused founder-led campaign; relevant to revenue; time-bound.</w:t>
            </w:r>
          </w:p>
        </w:tc>
      </w:tr>
      <w:tr>
        <w:trPr>
          <w:cantSplit/>
        </w:trPr>
        <w:tc>
          <w:tcPr>
            <w:tcW w:type="dxa" w:w="1800"/>
            <w:tcMar>
              <w:top w:w="100" w:type="dxa"/>
              <w:start w:w="130" w:type="dxa"/>
              <w:bottom w:w="100" w:type="dxa"/>
              <w:end w:w="130" w:type="dxa"/>
            </w:tcMar>
            <w:shd w:fill="F6F3EF"/>
            <w:vAlign w:val="center"/>
          </w:tcPr>
          <w:p>
            <w:pPr>
              <w:spacing w:after="0"/>
            </w:pPr>
            <w:r>
              <w:rPr>
                <w:rFonts w:ascii="Aptos" w:hAnsi="Aptos"/>
                <w:color w:val="252525"/>
                <w:sz w:val="16"/>
              </w:rPr>
              <w:t>Owned audience</w:t>
            </w:r>
          </w:p>
        </w:tc>
        <w:tc>
          <w:tcPr>
            <w:tcW w:type="dxa" w:w="3960"/>
            <w:tcMar>
              <w:top w:w="100" w:type="dxa"/>
              <w:start w:w="130" w:type="dxa"/>
              <w:bottom w:w="100" w:type="dxa"/>
              <w:end w:w="130" w:type="dxa"/>
            </w:tcMar>
            <w:shd w:fill="F6F3EF"/>
            <w:vAlign w:val="center"/>
          </w:tcPr>
          <w:p>
            <w:pPr>
              <w:spacing w:after="0"/>
            </w:pPr>
            <w:r>
              <w:rPr>
                <w:rFonts w:ascii="Aptos" w:hAnsi="Aptos"/>
                <w:color w:val="252525"/>
                <w:sz w:val="16"/>
              </w:rPr>
              <w:t>Gain 100 new opt-in email subscribers through the Calgary Local Visibility Scorecard by Dec. 31.</w:t>
            </w:r>
          </w:p>
        </w:tc>
        <w:tc>
          <w:tcPr>
            <w:tcW w:type="dxa" w:w="4536"/>
            <w:tcMar>
              <w:top w:w="100" w:type="dxa"/>
              <w:start w:w="130" w:type="dxa"/>
              <w:bottom w:w="100" w:type="dxa"/>
              <w:end w:w="130" w:type="dxa"/>
            </w:tcMar>
            <w:shd w:fill="F6F3EF"/>
            <w:vAlign w:val="center"/>
          </w:tcPr>
          <w:p>
            <w:pPr>
              <w:spacing w:after="0"/>
            </w:pPr>
            <w:r>
              <w:rPr>
                <w:rFonts w:ascii="Aptos" w:hAnsi="Aptos"/>
                <w:color w:val="252525"/>
                <w:sz w:val="16"/>
              </w:rPr>
              <w:t>Creates a measurable first-party audience that can be nurtured beyond the campaign.</w:t>
            </w:r>
          </w:p>
        </w:tc>
      </w:tr>
      <w:tr>
        <w:trPr>
          <w:cantSplit/>
        </w:trPr>
        <w:tc>
          <w:tcPr>
            <w:tcW w:type="dxa" w:w="1800"/>
            <w:tcMar>
              <w:top w:w="100" w:type="dxa"/>
              <w:start w:w="130" w:type="dxa"/>
              <w:bottom w:w="100" w:type="dxa"/>
              <w:end w:w="130" w:type="dxa"/>
            </w:tcMar>
            <w:vAlign w:val="center"/>
          </w:tcPr>
          <w:p>
            <w:pPr>
              <w:spacing w:after="0"/>
            </w:pPr>
            <w:r>
              <w:rPr>
                <w:rFonts w:ascii="Aptos" w:hAnsi="Aptos"/>
                <w:color w:val="252525"/>
                <w:sz w:val="16"/>
              </w:rPr>
              <w:t>Traffic and awareness</w:t>
            </w:r>
          </w:p>
        </w:tc>
        <w:tc>
          <w:tcPr>
            <w:tcW w:type="dxa" w:w="3960"/>
            <w:tcMar>
              <w:top w:w="100" w:type="dxa"/>
              <w:start w:w="130" w:type="dxa"/>
              <w:bottom w:w="100" w:type="dxa"/>
              <w:end w:w="130" w:type="dxa"/>
            </w:tcMar>
            <w:vAlign w:val="center"/>
          </w:tcPr>
          <w:p>
            <w:pPr>
              <w:spacing w:after="0"/>
            </w:pPr>
            <w:r>
              <w:rPr>
                <w:rFonts w:ascii="Aptos" w:hAnsi="Aptos"/>
                <w:color w:val="252525"/>
                <w:sz w:val="16"/>
              </w:rPr>
              <w:t>Generate 300 campaign landing-page visits and at least 20,000 Calgary-relevant social impressions during the period.</w:t>
            </w:r>
          </w:p>
        </w:tc>
        <w:tc>
          <w:tcPr>
            <w:tcW w:type="dxa" w:w="4536"/>
            <w:tcMar>
              <w:top w:w="100" w:type="dxa"/>
              <w:start w:w="130" w:type="dxa"/>
              <w:bottom w:w="100" w:type="dxa"/>
              <w:end w:w="130" w:type="dxa"/>
            </w:tcMar>
            <w:vAlign w:val="center"/>
          </w:tcPr>
          <w:p>
            <w:pPr>
              <w:spacing w:after="0"/>
            </w:pPr>
            <w:r>
              <w:rPr>
                <w:rFonts w:ascii="Aptos" w:hAnsi="Aptos"/>
                <w:color w:val="252525"/>
                <w:sz w:val="16"/>
              </w:rPr>
              <w:t>Provides enough top-of-funnel volume to test message, channel and conversion assumptions.</w:t>
            </w:r>
          </w:p>
        </w:tc>
      </w:tr>
    </w:tbl>
    <w:p>
      <w:pPr>
        <w:spacing w:after="20"/>
      </w:pPr>
    </w:p>
    <w:p>
      <w:pPr>
        <w:keepNext/>
        <w:spacing w:after="60"/>
      </w:pPr>
      <w:r>
        <w:rPr>
          <w:rFonts w:ascii="Aptos" w:hAnsi="Aptos"/>
          <w:b/>
          <w:color w:val="18324A"/>
          <w:sz w:val="18"/>
        </w:rPr>
        <w:t>MARKET CONTEXT</w:t>
      </w:r>
    </w:p>
    <w:p>
      <w:pPr>
        <w:pStyle w:val="Heading1"/>
      </w:pPr>
      <w:r>
        <w:t>2. Competitive Analysis</w:t>
      </w:r>
    </w:p>
    <w:p>
      <w:pPr>
        <w:spacing w:after="140" w:line="271" w:lineRule="auto"/>
      </w:pPr>
      <w:r>
        <w:rPr>
          <w:rFonts w:ascii="Aptos" w:hAnsi="Aptos"/>
          <w:color w:val="252525"/>
        </w:rPr>
        <w:t>The Calgary market includes large full-service agencies, specialist social media teams, independent creators and low-cost content suppliers. Yuniq does not need to outscale established agencies. It needs to own a narrower position: practical bilingual growth support for small businesses that want local reach without losing cultural authenticity.</w:t>
      </w:r>
    </w:p>
    <w:p>
      <w:pPr>
        <w:pStyle w:val="Heading2"/>
      </w:pPr>
      <w:r>
        <w:t>Competitor 1: URBA</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3240"/>
            <w:shd w:fill="F3DF45"/>
            <w:tcMar>
              <w:top w:w="100" w:type="dxa"/>
              <w:start w:w="130" w:type="dxa"/>
              <w:bottom w:w="100" w:type="dxa"/>
              <w:end w:w="130" w:type="dxa"/>
            </w:tcMar>
          </w:tcPr>
          <w:p>
            <w:pPr>
              <w:jc w:val="left"/>
            </w:pPr>
            <w:r>
              <w:rPr>
                <w:rFonts w:ascii="Aptos" w:hAnsi="Aptos"/>
                <w:b/>
                <w:color w:val="18324A"/>
                <w:sz w:val="16"/>
              </w:rPr>
              <w:t>Positioning and UVP</w:t>
            </w:r>
          </w:p>
        </w:tc>
        <w:tc>
          <w:tcPr>
            <w:tcW w:type="dxa" w:w="3672"/>
            <w:shd w:fill="F3DF45"/>
            <w:tcMar>
              <w:top w:w="100" w:type="dxa"/>
              <w:start w:w="130" w:type="dxa"/>
              <w:bottom w:w="100" w:type="dxa"/>
              <w:end w:w="130" w:type="dxa"/>
            </w:tcMar>
          </w:tcPr>
          <w:p>
            <w:pPr>
              <w:jc w:val="left"/>
            </w:pPr>
            <w:r>
              <w:rPr>
                <w:rFonts w:ascii="Aptos" w:hAnsi="Aptos"/>
                <w:b/>
                <w:color w:val="18324A"/>
                <w:sz w:val="16"/>
              </w:rPr>
              <w:t>Marketing strategies</w:t>
            </w:r>
          </w:p>
        </w:tc>
        <w:tc>
          <w:tcPr>
            <w:tcW w:type="dxa" w:w="3384"/>
            <w:shd w:fill="F3DF45"/>
            <w:tcMar>
              <w:top w:w="100" w:type="dxa"/>
              <w:start w:w="130" w:type="dxa"/>
              <w:bottom w:w="100" w:type="dxa"/>
              <w:end w:w="130" w:type="dxa"/>
            </w:tcMar>
          </w:tcPr>
          <w:p>
            <w:pPr>
              <w:jc w:val="left"/>
            </w:pPr>
            <w:r>
              <w:rPr>
                <w:rFonts w:ascii="Aptos" w:hAnsi="Aptos"/>
                <w:b/>
                <w:color w:val="18324A"/>
                <w:sz w:val="16"/>
              </w:rPr>
              <w:t>Implication for Yuniq</w:t>
            </w:r>
          </w:p>
        </w:tc>
      </w:tr>
      <w:tr>
        <w:trPr>
          <w:cantSplit/>
        </w:trPr>
        <w:tc>
          <w:tcPr>
            <w:tcW w:type="dxa" w:w="3240"/>
            <w:tcMar>
              <w:top w:w="100" w:type="dxa"/>
              <w:start w:w="130" w:type="dxa"/>
              <w:bottom w:w="100" w:type="dxa"/>
              <w:end w:w="130" w:type="dxa"/>
            </w:tcMar>
            <w:vAlign w:val="center"/>
          </w:tcPr>
          <w:p>
            <w:pPr>
              <w:spacing w:after="0"/>
            </w:pPr>
            <w:r>
              <w:rPr>
                <w:rFonts w:ascii="Aptos" w:hAnsi="Aptos"/>
                <w:color w:val="252525"/>
                <w:sz w:val="16"/>
              </w:rPr>
              <w:t>A city-focused media network that connects brands with large, engaged local audiences and promotes what is happening across major Canadian cities.</w:t>
            </w:r>
          </w:p>
        </w:tc>
        <w:tc>
          <w:tcPr>
            <w:tcW w:type="dxa" w:w="3672"/>
            <w:tcMar>
              <w:top w:w="100" w:type="dxa"/>
              <w:start w:w="130" w:type="dxa"/>
              <w:bottom w:w="100" w:type="dxa"/>
              <w:end w:w="130" w:type="dxa"/>
            </w:tcMar>
            <w:vAlign w:val="center"/>
          </w:tcPr>
          <w:p>
            <w:pPr>
              <w:spacing w:after="0"/>
            </w:pPr>
            <w:r>
              <w:rPr>
                <w:rFonts w:ascii="Aptos" w:hAnsi="Aptos"/>
                <w:color w:val="252525"/>
                <w:sz w:val="16"/>
              </w:rPr>
              <w:t>Publishes high-volume local discovery content about events, restaurants and city culture; sells brand features and network reach; uses social proof through visible audience and performance metrics; supports local discovery and event promotion.</w:t>
            </w:r>
          </w:p>
        </w:tc>
        <w:tc>
          <w:tcPr>
            <w:tcW w:type="dxa" w:w="3384"/>
            <w:tcMar>
              <w:top w:w="100" w:type="dxa"/>
              <w:start w:w="130" w:type="dxa"/>
              <w:bottom w:w="100" w:type="dxa"/>
              <w:end w:w="130" w:type="dxa"/>
            </w:tcMar>
            <w:vAlign w:val="center"/>
          </w:tcPr>
          <w:p>
            <w:pPr>
              <w:spacing w:after="0"/>
            </w:pPr>
            <w:r>
              <w:rPr>
                <w:rFonts w:ascii="Aptos" w:hAnsi="Aptos"/>
                <w:color w:val="252525"/>
                <w:sz w:val="16"/>
              </w:rPr>
              <w:t>URBA is powerful for broad local exposure. Yuniq should not compete on audience scale. It should compete on hands-on bilingual strategy, founder access, cultural adaptation and a clear lead-to-conversion process for smaller clients.</w:t>
            </w:r>
          </w:p>
        </w:tc>
      </w:tr>
    </w:tbl>
    <w:p>
      <w:pPr>
        <w:spacing w:after="20"/>
      </w:pPr>
    </w:p>
    <w:p>
      <w:r>
        <w:rPr>
          <w:rFonts w:ascii="Aptos" w:hAnsi="Aptos"/>
          <w:color w:val="6C6762"/>
          <w:sz w:val="16"/>
        </w:rPr>
        <w:t xml:space="preserve">Source: </w:t>
      </w:r>
      <w:hyperlink r:id="rId11">
        <w:r>
          <w:rPr>
            <w:color w:val="18324A"/>
            <w:u w:val="single"/>
          </w:rPr>
          <w:t>URBA official website</w:t>
        </w:r>
      </w:hyperlink>
    </w:p>
    <w:p>
      <w:pPr>
        <w:pStyle w:val="Heading2"/>
      </w:pPr>
      <w:r>
        <w:t>Competitor 2: Full Blast Creative</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3240"/>
            <w:shd w:fill="F3DF45"/>
            <w:tcMar>
              <w:top w:w="100" w:type="dxa"/>
              <w:start w:w="130" w:type="dxa"/>
              <w:bottom w:w="100" w:type="dxa"/>
              <w:end w:w="130" w:type="dxa"/>
            </w:tcMar>
          </w:tcPr>
          <w:p>
            <w:pPr>
              <w:jc w:val="left"/>
            </w:pPr>
            <w:r>
              <w:rPr>
                <w:rFonts w:ascii="Aptos" w:hAnsi="Aptos"/>
                <w:b/>
                <w:color w:val="18324A"/>
                <w:sz w:val="16"/>
              </w:rPr>
              <w:t>Positioning and UVP</w:t>
            </w:r>
          </w:p>
        </w:tc>
        <w:tc>
          <w:tcPr>
            <w:tcW w:type="dxa" w:w="3672"/>
            <w:shd w:fill="F3DF45"/>
            <w:tcMar>
              <w:top w:w="100" w:type="dxa"/>
              <w:start w:w="130" w:type="dxa"/>
              <w:bottom w:w="100" w:type="dxa"/>
              <w:end w:w="130" w:type="dxa"/>
            </w:tcMar>
          </w:tcPr>
          <w:p>
            <w:pPr>
              <w:jc w:val="left"/>
            </w:pPr>
            <w:r>
              <w:rPr>
                <w:rFonts w:ascii="Aptos" w:hAnsi="Aptos"/>
                <w:b/>
                <w:color w:val="18324A"/>
                <w:sz w:val="16"/>
              </w:rPr>
              <w:t>Marketing strategies</w:t>
            </w:r>
          </w:p>
        </w:tc>
        <w:tc>
          <w:tcPr>
            <w:tcW w:type="dxa" w:w="3384"/>
            <w:shd w:fill="F3DF45"/>
            <w:tcMar>
              <w:top w:w="100" w:type="dxa"/>
              <w:start w:w="130" w:type="dxa"/>
              <w:bottom w:w="100" w:type="dxa"/>
              <w:end w:w="130" w:type="dxa"/>
            </w:tcMar>
          </w:tcPr>
          <w:p>
            <w:pPr>
              <w:jc w:val="left"/>
            </w:pPr>
            <w:r>
              <w:rPr>
                <w:rFonts w:ascii="Aptos" w:hAnsi="Aptos"/>
                <w:b/>
                <w:color w:val="18324A"/>
                <w:sz w:val="16"/>
              </w:rPr>
              <w:t>Implication for Yuniq</w:t>
            </w:r>
          </w:p>
        </w:tc>
      </w:tr>
      <w:tr>
        <w:trPr>
          <w:cantSplit/>
        </w:trPr>
        <w:tc>
          <w:tcPr>
            <w:tcW w:type="dxa" w:w="3240"/>
            <w:tcMar>
              <w:top w:w="100" w:type="dxa"/>
              <w:start w:w="130" w:type="dxa"/>
              <w:bottom w:w="100" w:type="dxa"/>
              <w:end w:w="130" w:type="dxa"/>
            </w:tcMar>
            <w:vAlign w:val="center"/>
          </w:tcPr>
          <w:p>
            <w:pPr>
              <w:spacing w:after="0"/>
            </w:pPr>
            <w:r>
              <w:rPr>
                <w:rFonts w:ascii="Aptos" w:hAnsi="Aptos"/>
                <w:color w:val="252525"/>
                <w:sz w:val="16"/>
              </w:rPr>
              <w:t>A full-service, results-oriented Calgary marketing agency offering strategy, web, social media, advertising, SEO/PPC, branding and production.</w:t>
            </w:r>
          </w:p>
        </w:tc>
        <w:tc>
          <w:tcPr>
            <w:tcW w:type="dxa" w:w="3672"/>
            <w:tcMar>
              <w:top w:w="100" w:type="dxa"/>
              <w:start w:w="130" w:type="dxa"/>
              <w:bottom w:w="100" w:type="dxa"/>
              <w:end w:w="130" w:type="dxa"/>
            </w:tcMar>
            <w:vAlign w:val="center"/>
          </w:tcPr>
          <w:p>
            <w:pPr>
              <w:spacing w:after="0"/>
            </w:pPr>
            <w:r>
              <w:rPr>
                <w:rFonts w:ascii="Aptos" w:hAnsi="Aptos"/>
                <w:color w:val="252525"/>
                <w:sz w:val="16"/>
              </w:rPr>
              <w:t>Uses an integrated service menu; combines organic and paid social; offers community management, influencer marketing and crisis support; demonstrates expertise through service pages, case work and educational content; emphasizes agreed business outcomes.</w:t>
            </w:r>
          </w:p>
        </w:tc>
        <w:tc>
          <w:tcPr>
            <w:tcW w:type="dxa" w:w="3384"/>
            <w:tcMar>
              <w:top w:w="100" w:type="dxa"/>
              <w:start w:w="130" w:type="dxa"/>
              <w:bottom w:w="100" w:type="dxa"/>
              <w:end w:w="130" w:type="dxa"/>
            </w:tcMar>
            <w:vAlign w:val="center"/>
          </w:tcPr>
          <w:p>
            <w:pPr>
              <w:spacing w:after="0"/>
            </w:pPr>
            <w:r>
              <w:rPr>
                <w:rFonts w:ascii="Aptos" w:hAnsi="Aptos"/>
                <w:color w:val="252525"/>
                <w:sz w:val="16"/>
              </w:rPr>
              <w:t>Full-service depth can appeal to larger or more complex accounts. Yuniq can remain easier to understand and access: one focused visibility problem, one founder-led point of contact, small pilot packages and bilingual creator-style execution.</w:t>
            </w:r>
          </w:p>
        </w:tc>
      </w:tr>
    </w:tbl>
    <w:p>
      <w:pPr>
        <w:spacing w:after="20"/>
      </w:pPr>
    </w:p>
    <w:p>
      <w:r>
        <w:rPr>
          <w:rFonts w:ascii="Aptos" w:hAnsi="Aptos"/>
          <w:color w:val="6C6762"/>
          <w:sz w:val="16"/>
        </w:rPr>
        <w:t xml:space="preserve">Sources: </w:t>
      </w:r>
      <w:hyperlink r:id="rId12">
        <w:r>
          <w:rPr>
            <w:color w:val="18324A"/>
            <w:u w:val="single"/>
          </w:rPr>
          <w:t>Full Blast Creative</w:t>
        </w:r>
      </w:hyperlink>
      <w:r>
        <w:t xml:space="preserve"> and </w:t>
      </w:r>
      <w:hyperlink r:id="rId13">
        <w:r>
          <w:rPr>
            <w:color w:val="18324A"/>
            <w:u w:val="single"/>
          </w:rPr>
          <w:t>social media services</w:t>
        </w:r>
      </w:hyperlink>
    </w:p>
    <w:p>
      <w:pPr>
        <w:pStyle w:val="Heading2"/>
      </w:pPr>
      <w:r>
        <w:t>Competitive gap and response</w:t>
      </w:r>
    </w:p>
    <w:tbl>
      <w:tblPr>
        <w:tblStyle w:val="TableGrid"/>
        <w:tblW w:type="auto" w:w="0"/>
        <w:jc w:val="center"/>
        <w:tblLayout w:type="fixed"/>
        <w:tblLook w:firstColumn="1" w:firstRow="1" w:lastColumn="0" w:lastRow="0" w:noHBand="0" w:noVBand="1" w:val="04A0"/>
      </w:tblPr>
      <w:tblGrid>
        <w:gridCol w:w="4939"/>
        <w:gridCol w:w="4939"/>
      </w:tblGrid>
      <w:tr>
        <w:trPr>
          <w:tblHeader w:val="true"/>
          <w:cantSplit/>
        </w:trPr>
        <w:tc>
          <w:tcPr>
            <w:tcW w:type="dxa" w:w="3168"/>
            <w:shd w:fill="F3DF45"/>
            <w:tcMar>
              <w:top w:w="100" w:type="dxa"/>
              <w:start w:w="130" w:type="dxa"/>
              <w:bottom w:w="100" w:type="dxa"/>
              <w:end w:w="130" w:type="dxa"/>
            </w:tcMar>
          </w:tcPr>
          <w:p>
            <w:pPr>
              <w:jc w:val="left"/>
            </w:pPr>
            <w:r>
              <w:rPr>
                <w:rFonts w:ascii="Aptos" w:hAnsi="Aptos"/>
                <w:b/>
                <w:color w:val="18324A"/>
                <w:sz w:val="17"/>
              </w:rPr>
              <w:t>Market expectation</w:t>
            </w:r>
          </w:p>
        </w:tc>
        <w:tc>
          <w:tcPr>
            <w:tcW w:type="dxa" w:w="7128"/>
            <w:shd w:fill="F3DF45"/>
            <w:tcMar>
              <w:top w:w="100" w:type="dxa"/>
              <w:start w:w="130" w:type="dxa"/>
              <w:bottom w:w="100" w:type="dxa"/>
              <w:end w:w="130" w:type="dxa"/>
            </w:tcMar>
          </w:tcPr>
          <w:p>
            <w:pPr>
              <w:jc w:val="left"/>
            </w:pPr>
            <w:r>
              <w:rPr>
                <w:rFonts w:ascii="Aptos" w:hAnsi="Aptos"/>
                <w:b/>
                <w:color w:val="18324A"/>
                <w:sz w:val="17"/>
              </w:rPr>
              <w:t>How Yuniq responds</w:t>
            </w:r>
          </w:p>
        </w:tc>
      </w:tr>
      <w:tr>
        <w:trPr>
          <w:cantSplit/>
        </w:trPr>
        <w:tc>
          <w:tcPr>
            <w:tcW w:type="dxa" w:w="3168"/>
            <w:tcMar>
              <w:top w:w="100" w:type="dxa"/>
              <w:start w:w="130" w:type="dxa"/>
              <w:bottom w:w="100" w:type="dxa"/>
              <w:end w:w="130" w:type="dxa"/>
            </w:tcMar>
            <w:vAlign w:val="center"/>
          </w:tcPr>
          <w:p>
            <w:pPr>
              <w:spacing w:after="0"/>
            </w:pPr>
            <w:r>
              <w:rPr>
                <w:rFonts w:ascii="Aptos" w:hAnsi="Aptos"/>
                <w:color w:val="252525"/>
                <w:sz w:val="17"/>
              </w:rPr>
              <w:t>Local relevance</w:t>
            </w:r>
          </w:p>
        </w:tc>
        <w:tc>
          <w:tcPr>
            <w:tcW w:type="dxa" w:w="7128"/>
            <w:tcMar>
              <w:top w:w="100" w:type="dxa"/>
              <w:start w:w="130" w:type="dxa"/>
              <w:bottom w:w="100" w:type="dxa"/>
              <w:end w:w="130" w:type="dxa"/>
            </w:tcMar>
            <w:vAlign w:val="center"/>
          </w:tcPr>
          <w:p>
            <w:pPr>
              <w:spacing w:after="0"/>
            </w:pPr>
            <w:r>
              <w:rPr>
                <w:rFonts w:ascii="Aptos" w:hAnsi="Aptos"/>
                <w:color w:val="252525"/>
                <w:sz w:val="17"/>
              </w:rPr>
              <w:t>Calgary-specific examples, local keywords, local events and community partnerships.</w:t>
            </w:r>
          </w:p>
        </w:tc>
      </w:tr>
      <w:tr>
        <w:trPr>
          <w:cantSplit/>
        </w:trPr>
        <w:tc>
          <w:tcPr>
            <w:tcW w:type="dxa" w:w="3168"/>
            <w:tcMar>
              <w:top w:w="100" w:type="dxa"/>
              <w:start w:w="130" w:type="dxa"/>
              <w:bottom w:w="100" w:type="dxa"/>
              <w:end w:w="130" w:type="dxa"/>
            </w:tcMar>
            <w:shd w:fill="F6F3EF"/>
            <w:vAlign w:val="center"/>
          </w:tcPr>
          <w:p>
            <w:pPr>
              <w:spacing w:after="0"/>
            </w:pPr>
            <w:r>
              <w:rPr>
                <w:rFonts w:ascii="Aptos" w:hAnsi="Aptos"/>
                <w:color w:val="252525"/>
                <w:sz w:val="17"/>
              </w:rPr>
              <w:t>Professional content</w:t>
            </w:r>
          </w:p>
        </w:tc>
        <w:tc>
          <w:tcPr>
            <w:tcW w:type="dxa" w:w="7128"/>
            <w:tcMar>
              <w:top w:w="100" w:type="dxa"/>
              <w:start w:w="130" w:type="dxa"/>
              <w:bottom w:w="100" w:type="dxa"/>
              <w:end w:w="130" w:type="dxa"/>
            </w:tcMar>
            <w:shd w:fill="F6F3EF"/>
            <w:vAlign w:val="center"/>
          </w:tcPr>
          <w:p>
            <w:pPr>
              <w:spacing w:after="0"/>
            </w:pPr>
            <w:r>
              <w:rPr>
                <w:rFonts w:ascii="Aptos" w:hAnsi="Aptos"/>
                <w:color w:val="252525"/>
                <w:sz w:val="17"/>
              </w:rPr>
              <w:t>Founder-led photography, short-form video, bilingual captions and platform-native editing.</w:t>
            </w:r>
          </w:p>
        </w:tc>
      </w:tr>
      <w:tr>
        <w:trPr>
          <w:cantSplit/>
        </w:trPr>
        <w:tc>
          <w:tcPr>
            <w:tcW w:type="dxa" w:w="3168"/>
            <w:tcMar>
              <w:top w:w="100" w:type="dxa"/>
              <w:start w:w="130" w:type="dxa"/>
              <w:bottom w:w="100" w:type="dxa"/>
              <w:end w:w="130" w:type="dxa"/>
            </w:tcMar>
            <w:vAlign w:val="center"/>
          </w:tcPr>
          <w:p>
            <w:pPr>
              <w:spacing w:after="0"/>
            </w:pPr>
            <w:r>
              <w:rPr>
                <w:rFonts w:ascii="Aptos" w:hAnsi="Aptos"/>
                <w:color w:val="252525"/>
                <w:sz w:val="17"/>
              </w:rPr>
              <w:t>Measurable outcomes</w:t>
            </w:r>
          </w:p>
        </w:tc>
        <w:tc>
          <w:tcPr>
            <w:tcW w:type="dxa" w:w="7128"/>
            <w:tcMar>
              <w:top w:w="100" w:type="dxa"/>
              <w:start w:w="130" w:type="dxa"/>
              <w:bottom w:w="100" w:type="dxa"/>
              <w:end w:w="130" w:type="dxa"/>
            </w:tcMar>
            <w:vAlign w:val="center"/>
          </w:tcPr>
          <w:p>
            <w:pPr>
              <w:spacing w:after="0"/>
            </w:pPr>
            <w:r>
              <w:rPr>
                <w:rFonts w:ascii="Aptos" w:hAnsi="Aptos"/>
                <w:color w:val="252525"/>
                <w:sz w:val="17"/>
              </w:rPr>
              <w:t>UTM links, landing-page conversion, email opt-ins, consultations and client conversions.</w:t>
            </w:r>
          </w:p>
        </w:tc>
      </w:tr>
      <w:tr>
        <w:trPr>
          <w:cantSplit/>
        </w:trPr>
        <w:tc>
          <w:tcPr>
            <w:tcW w:type="dxa" w:w="3168"/>
            <w:tcMar>
              <w:top w:w="100" w:type="dxa"/>
              <w:start w:w="130" w:type="dxa"/>
              <w:bottom w:w="100" w:type="dxa"/>
              <w:end w:w="130" w:type="dxa"/>
            </w:tcMar>
            <w:shd w:fill="F6F3EF"/>
            <w:vAlign w:val="center"/>
          </w:tcPr>
          <w:p>
            <w:pPr>
              <w:spacing w:after="0"/>
            </w:pPr>
            <w:r>
              <w:rPr>
                <w:rFonts w:ascii="Aptos" w:hAnsi="Aptos"/>
                <w:color w:val="252525"/>
                <w:sz w:val="17"/>
              </w:rPr>
              <w:t>Lower perceived risk</w:t>
            </w:r>
          </w:p>
        </w:tc>
        <w:tc>
          <w:tcPr>
            <w:tcW w:type="dxa" w:w="7128"/>
            <w:tcMar>
              <w:top w:w="100" w:type="dxa"/>
              <w:start w:w="130" w:type="dxa"/>
              <w:bottom w:w="100" w:type="dxa"/>
              <w:end w:w="130" w:type="dxa"/>
            </w:tcMar>
            <w:shd w:fill="F6F3EF"/>
            <w:vAlign w:val="center"/>
          </w:tcPr>
          <w:p>
            <w:pPr>
              <w:spacing w:after="0"/>
            </w:pPr>
            <w:r>
              <w:rPr>
                <w:rFonts w:ascii="Aptos" w:hAnsi="Aptos"/>
                <w:color w:val="252525"/>
                <w:sz w:val="17"/>
              </w:rPr>
              <w:t>A free diagnostic followed by a defined, affordable pilot instead of an open-ended retainer.</w:t>
            </w:r>
          </w:p>
        </w:tc>
      </w:tr>
      <w:tr>
        <w:trPr>
          <w:cantSplit/>
        </w:trPr>
        <w:tc>
          <w:tcPr>
            <w:tcW w:type="dxa" w:w="3168"/>
            <w:tcMar>
              <w:top w:w="100" w:type="dxa"/>
              <w:start w:w="130" w:type="dxa"/>
              <w:bottom w:w="100" w:type="dxa"/>
              <w:end w:w="130" w:type="dxa"/>
            </w:tcMar>
            <w:vAlign w:val="center"/>
          </w:tcPr>
          <w:p>
            <w:pPr>
              <w:spacing w:after="0"/>
            </w:pPr>
            <w:r>
              <w:rPr>
                <w:rFonts w:ascii="Aptos" w:hAnsi="Aptos"/>
                <w:color w:val="252525"/>
                <w:sz w:val="17"/>
              </w:rPr>
              <w:t>Cross-cultural reach</w:t>
            </w:r>
          </w:p>
        </w:tc>
        <w:tc>
          <w:tcPr>
            <w:tcW w:type="dxa" w:w="7128"/>
            <w:tcMar>
              <w:top w:w="100" w:type="dxa"/>
              <w:start w:w="130" w:type="dxa"/>
              <w:bottom w:w="100" w:type="dxa"/>
              <w:end w:w="130" w:type="dxa"/>
            </w:tcMar>
            <w:vAlign w:val="center"/>
          </w:tcPr>
          <w:p>
            <w:pPr>
              <w:spacing w:after="0"/>
            </w:pPr>
            <w:r>
              <w:rPr>
                <w:rFonts w:ascii="Aptos" w:hAnsi="Aptos"/>
                <w:color w:val="252525"/>
                <w:sz w:val="17"/>
              </w:rPr>
              <w:t>Message adaptation for English and Chinese audiences, not word-for-word translation.</w:t>
            </w:r>
          </w:p>
        </w:tc>
      </w:tr>
    </w:tbl>
    <w:p>
      <w:pPr>
        <w:spacing w:after="20"/>
      </w:pPr>
    </w:p>
    <w:p>
      <w:pPr>
        <w:keepNext/>
        <w:spacing w:after="60"/>
      </w:pPr>
      <w:r>
        <w:rPr>
          <w:rFonts w:ascii="Aptos" w:hAnsi="Aptos"/>
          <w:b/>
          <w:color w:val="18324A"/>
          <w:sz w:val="18"/>
        </w:rPr>
        <w:t>AUDIENCE</w:t>
      </w:r>
    </w:p>
    <w:p>
      <w:pPr>
        <w:pStyle w:val="Heading1"/>
      </w:pPr>
      <w:r>
        <w:t>3. Customer Persona and Unique Selling Proposition</w:t>
      </w:r>
    </w:p>
    <w:tbl>
      <w:tblPr>
        <w:tblW w:type="auto" w:w="0"/>
        <w:jc w:val="center"/>
        <w:tblLayout w:type="fixed"/>
        <w:tblLook w:firstColumn="1" w:firstRow="1" w:lastColumn="0" w:lastRow="0" w:noHBand="0" w:noVBand="1" w:val="04A0"/>
      </w:tblPr>
      <w:tblGrid>
        <w:gridCol w:w="4939"/>
        <w:gridCol w:w="4939"/>
      </w:tblGrid>
      <w:tr>
        <w:trPr>
          <w:cantSplit/>
        </w:trPr>
        <w:tc>
          <w:tcPr>
            <w:tcW w:type="dxa" w:w="3528"/>
            <w:shd w:fill="F8F3E8"/>
            <w:tcMar>
              <w:top w:w="130" w:type="dxa"/>
              <w:start w:w="130" w:type="dxa"/>
              <w:bottom w:w="130" w:type="dxa"/>
              <w:end w:w="130" w:type="dxa"/>
            </w:tcMar>
          </w:tcPr>
          <w:p>
            <w:pPr>
              <w:jc w:val="center"/>
            </w:pPr>
            <w:r>
              <w:drawing>
                <wp:inline xmlns:a="http://schemas.openxmlformats.org/drawingml/2006/main" xmlns:pic="http://schemas.openxmlformats.org/drawingml/2006/picture">
                  <wp:extent cx="1965960" cy="2456574"/>
                  <wp:docPr id="1" name="Picture 1"/>
                  <wp:cNvGraphicFramePr>
                    <a:graphicFrameLocks noChangeAspect="1"/>
                  </wp:cNvGraphicFramePr>
                  <a:graphic>
                    <a:graphicData uri="http://schemas.openxmlformats.org/drawingml/2006/picture">
                      <pic:pic>
                        <pic:nvPicPr>
                          <pic:cNvPr id="0" name="david-wong-persona.png"/>
                          <pic:cNvPicPr/>
                        </pic:nvPicPr>
                        <pic:blipFill>
                          <a:blip r:embed="rId14"/>
                          <a:stretch>
                            <a:fillRect/>
                          </a:stretch>
                        </pic:blipFill>
                        <pic:spPr>
                          <a:xfrm>
                            <a:off x="0" y="0"/>
                            <a:ext cx="1965960" cy="2456574"/>
                          </a:xfrm>
                          <a:prstGeom prst="rect"/>
                        </pic:spPr>
                      </pic:pic>
                    </a:graphicData>
                  </a:graphic>
                </wp:inline>
              </w:drawing>
            </w:r>
          </w:p>
          <w:p>
            <w:pPr>
              <w:jc w:val="center"/>
            </w:pPr>
            <w:r>
              <w:rPr>
                <w:rFonts w:ascii="Aptos" w:hAnsi="Aptos"/>
                <w:color w:val="6C6762"/>
                <w:sz w:val="15"/>
              </w:rPr>
              <w:t>Fictional persona image</w:t>
            </w:r>
          </w:p>
        </w:tc>
        <w:tc>
          <w:tcPr>
            <w:tcW w:type="dxa" w:w="6552"/>
            <w:shd w:fill="FFFFFF"/>
            <w:tcMar>
              <w:top w:w="150" w:type="dxa"/>
              <w:start w:w="190" w:type="dxa"/>
              <w:bottom w:w="150" w:type="dxa"/>
              <w:end w:w="190" w:type="dxa"/>
            </w:tcMar>
          </w:tcPr>
          <w:p>
            <w:r>
              <w:rPr>
                <w:rFonts w:ascii="Aptos" w:hAnsi="Aptos"/>
                <w:b/>
                <w:color w:val="18324A"/>
                <w:sz w:val="34"/>
              </w:rPr>
              <w:t>DAVID WONG</w:t>
            </w:r>
          </w:p>
          <w:p>
            <w:r>
              <w:rPr>
                <w:rFonts w:ascii="Aptos" w:hAnsi="Aptos"/>
                <w:b/>
                <w:color w:val="18324A"/>
                <w:sz w:val="21"/>
              </w:rPr>
              <w:t>42 | Calgary | Independent restaurant owner</w:t>
            </w:r>
          </w:p>
          <w:p>
            <w:pPr>
              <w:spacing w:after="40"/>
            </w:pPr>
            <w:r>
              <w:rPr>
                <w:rFonts w:ascii="Aptos" w:hAnsi="Aptos"/>
                <w:b/>
                <w:color w:val="18324A"/>
                <w:sz w:val="16"/>
              </w:rPr>
              <w:t>GOAL</w:t>
              <w:br/>
            </w:r>
            <w:r>
              <w:rPr>
                <w:rFonts w:ascii="Aptos" w:hAnsi="Aptos"/>
                <w:color w:val="252525"/>
                <w:sz w:val="18"/>
              </w:rPr>
              <w:t>Reach more English-speaking customers while keeping the restaurant’s cultural identity.</w:t>
            </w:r>
          </w:p>
          <w:p>
            <w:pPr>
              <w:spacing w:after="40"/>
            </w:pPr>
            <w:r>
              <w:rPr>
                <w:rFonts w:ascii="Aptos" w:hAnsi="Aptos"/>
                <w:b/>
                <w:color w:val="18324A"/>
                <w:sz w:val="16"/>
              </w:rPr>
              <w:t>PAIN POINTS</w:t>
              <w:br/>
            </w:r>
            <w:r>
              <w:rPr>
                <w:rFonts w:ascii="Aptos" w:hAnsi="Aptos"/>
                <w:color w:val="252525"/>
                <w:sz w:val="18"/>
              </w:rPr>
              <w:t>Very limited time; uncertain what to post; English copy takes too long; influencer costs and results feel unclear.</w:t>
            </w:r>
          </w:p>
          <w:p>
            <w:pPr>
              <w:spacing w:after="40"/>
            </w:pPr>
            <w:r>
              <w:rPr>
                <w:rFonts w:ascii="Aptos" w:hAnsi="Aptos"/>
                <w:b/>
                <w:color w:val="18324A"/>
                <w:sz w:val="16"/>
              </w:rPr>
              <w:t>MOTIVATION</w:t>
              <w:br/>
            </w:r>
            <w:r>
              <w:rPr>
                <w:rFonts w:ascii="Aptos" w:hAnsi="Aptos"/>
                <w:color w:val="252525"/>
                <w:sz w:val="18"/>
              </w:rPr>
              <w:t>More weekday traffic, stronger local recognition and marketing that can be connected to sales.</w:t>
            </w:r>
          </w:p>
          <w:p>
            <w:pPr>
              <w:spacing w:after="40"/>
            </w:pPr>
            <w:r>
              <w:rPr>
                <w:rFonts w:ascii="Aptos" w:hAnsi="Aptos"/>
                <w:b/>
                <w:color w:val="18324A"/>
                <w:sz w:val="16"/>
              </w:rPr>
              <w:t>OBJECTIONS</w:t>
              <w:br/>
            </w:r>
            <w:r>
              <w:rPr>
                <w:rFonts w:ascii="Aptos" w:hAnsi="Aptos"/>
                <w:color w:val="252525"/>
                <w:sz w:val="18"/>
              </w:rPr>
              <w:t>“Will this bring customers?” “Can I afford it?” “Will the content still feel like us?”</w:t>
            </w:r>
          </w:p>
          <w:p>
            <w:pPr>
              <w:spacing w:after="40"/>
            </w:pPr>
            <w:r>
              <w:rPr>
                <w:rFonts w:ascii="Aptos" w:hAnsi="Aptos"/>
                <w:b/>
                <w:color w:val="18324A"/>
                <w:sz w:val="16"/>
              </w:rPr>
              <w:t>DIGITAL BEHAVIOUR</w:t>
              <w:br/>
            </w:r>
            <w:r>
              <w:rPr>
                <w:rFonts w:ascii="Aptos" w:hAnsi="Aptos"/>
                <w:color w:val="252525"/>
                <w:sz w:val="18"/>
              </w:rPr>
              <w:t>Uses Instagram, Facebook, Google and WeChat/Rednote; checks competitors; prefers practical examples and referrals.</w:t>
            </w:r>
          </w:p>
          <w:p>
            <w:pPr>
              <w:spacing w:after="40"/>
            </w:pPr>
            <w:r>
              <w:rPr>
                <w:rFonts w:ascii="Aptos" w:hAnsi="Aptos"/>
                <w:b/>
                <w:color w:val="18324A"/>
                <w:sz w:val="16"/>
              </w:rPr>
              <w:t>DECISION TRIGGER</w:t>
              <w:br/>
            </w:r>
            <w:r>
              <w:rPr>
                <w:rFonts w:ascii="Aptos" w:hAnsi="Aptos"/>
                <w:color w:val="252525"/>
                <w:sz w:val="18"/>
              </w:rPr>
              <w:t>A low-risk diagnostic, visible proof of understanding, transparent scope and a simple next step.</w:t>
            </w:r>
          </w:p>
        </w:tc>
      </w:tr>
    </w:tbl>
    <w:p/>
    <w:p>
      <w:pPr>
        <w:pStyle w:val="Heading2"/>
      </w:pPr>
      <w:r>
        <w:t>Unique selling proposition</w:t>
      </w:r>
    </w:p>
    <w:tbl>
      <w:tblPr>
        <w:tblW w:type="auto" w:w="0"/>
        <w:jc w:val="center"/>
        <w:tblLayout w:type="fixed"/>
        <w:tblLook w:firstColumn="1" w:firstRow="1" w:lastColumn="0" w:lastRow="0" w:noHBand="0" w:noVBand="1" w:val="04A0"/>
      </w:tblPr>
      <w:tblGrid>
        <w:gridCol w:w="9878"/>
      </w:tblGrid>
      <w:tr>
        <w:trPr>
          <w:cantSplit/>
        </w:trPr>
        <w:tc>
          <w:tcPr>
            <w:tcW w:type="dxa" w:w="9360"/>
            <w:shd w:fill="FFF9CF"/>
            <w:tcMar>
              <w:top w:w="170" w:type="dxa"/>
              <w:start w:w="200" w:type="dxa"/>
              <w:bottom w:w="170" w:type="dxa"/>
              <w:end w:w="200" w:type="dxa"/>
            </w:tcMar>
          </w:tcPr>
          <w:p>
            <w:pPr>
              <w:spacing w:after="100"/>
            </w:pPr>
            <w:r>
              <w:rPr>
                <w:rFonts w:ascii="Aptos" w:hAnsi="Aptos"/>
                <w:b/>
                <w:color w:val="18324A"/>
                <w:sz w:val="22"/>
              </w:rPr>
              <w:t>YUNIQ USP</w:t>
            </w:r>
          </w:p>
          <w:p>
            <w:pPr>
              <w:spacing w:after="0"/>
            </w:pPr>
            <w:r>
              <w:rPr>
                <w:rFonts w:ascii="Aptos" w:hAnsi="Aptos"/>
                <w:color w:val="252525"/>
                <w:sz w:val="20"/>
              </w:rPr>
              <w:t>Yuniq helps Calgary small businesses grow beyond one community by combining bilingual cultural insight, creator-style content and practical performance tracking in one accessible, founder-led service.</w:t>
            </w:r>
          </w:p>
        </w:tc>
      </w:tr>
    </w:tbl>
    <w:p>
      <w:pPr>
        <w:spacing w:after="40"/>
      </w:pPr>
    </w:p>
    <w:p>
      <w:pPr>
        <w:spacing w:after="140" w:line="271" w:lineRule="auto"/>
      </w:pPr>
      <w:r>
        <w:rPr>
          <w:rFonts w:ascii="Aptos" w:hAnsi="Aptos"/>
          <w:color w:val="252525"/>
        </w:rPr>
        <w:t>Unlike broad agencies, Yuniq begins with the communication gap experienced by immigrant-led small businesses. Unlike a single influencer post, it builds an owned funnel and a repeatable content system. The value is not “more posts”; it is clearer content, wider local relevance and a measurable next step.</w:t>
      </w:r>
    </w:p>
    <w:p>
      <w:pPr>
        <w:pStyle w:val="Heading2"/>
      </w:pPr>
      <w:r>
        <w:t>Customer journey</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rPr>
          <w:tblHeader w:val="true"/>
          <w:cantSplit/>
        </w:trPr>
        <w:tc>
          <w:tcPr>
            <w:tcW w:type="dxa" w:w="1440"/>
            <w:shd w:fill="F3DF45"/>
            <w:tcMar>
              <w:top w:w="100" w:type="dxa"/>
              <w:start w:w="130" w:type="dxa"/>
              <w:bottom w:w="100" w:type="dxa"/>
              <w:end w:w="130" w:type="dxa"/>
            </w:tcMar>
          </w:tcPr>
          <w:p>
            <w:pPr>
              <w:jc w:val="left"/>
            </w:pPr>
            <w:r>
              <w:rPr>
                <w:rFonts w:ascii="Aptos" w:hAnsi="Aptos"/>
                <w:b/>
                <w:color w:val="18324A"/>
                <w:sz w:val="16"/>
              </w:rPr>
              <w:t>Stage</w:t>
            </w:r>
          </w:p>
        </w:tc>
        <w:tc>
          <w:tcPr>
            <w:tcW w:type="dxa" w:w="2520"/>
            <w:shd w:fill="F3DF45"/>
            <w:tcMar>
              <w:top w:w="100" w:type="dxa"/>
              <w:start w:w="130" w:type="dxa"/>
              <w:bottom w:w="100" w:type="dxa"/>
              <w:end w:w="130" w:type="dxa"/>
            </w:tcMar>
          </w:tcPr>
          <w:p>
            <w:pPr>
              <w:jc w:val="left"/>
            </w:pPr>
            <w:r>
              <w:rPr>
                <w:rFonts w:ascii="Aptos" w:hAnsi="Aptos"/>
                <w:b/>
                <w:color w:val="18324A"/>
                <w:sz w:val="16"/>
              </w:rPr>
              <w:t>Customer thought</w:t>
            </w:r>
          </w:p>
        </w:tc>
        <w:tc>
          <w:tcPr>
            <w:tcW w:type="dxa" w:w="3960"/>
            <w:shd w:fill="F3DF45"/>
            <w:tcMar>
              <w:top w:w="100" w:type="dxa"/>
              <w:start w:w="130" w:type="dxa"/>
              <w:bottom w:w="100" w:type="dxa"/>
              <w:end w:w="130" w:type="dxa"/>
            </w:tcMar>
          </w:tcPr>
          <w:p>
            <w:pPr>
              <w:jc w:val="left"/>
            </w:pPr>
            <w:r>
              <w:rPr>
                <w:rFonts w:ascii="Aptos" w:hAnsi="Aptos"/>
                <w:b/>
                <w:color w:val="18324A"/>
                <w:sz w:val="16"/>
              </w:rPr>
              <w:t>Yuniq response</w:t>
            </w:r>
          </w:p>
        </w:tc>
        <w:tc>
          <w:tcPr>
            <w:tcW w:type="dxa" w:w="2376"/>
            <w:shd w:fill="F3DF45"/>
            <w:tcMar>
              <w:top w:w="100" w:type="dxa"/>
              <w:start w:w="130" w:type="dxa"/>
              <w:bottom w:w="100" w:type="dxa"/>
              <w:end w:w="130" w:type="dxa"/>
            </w:tcMar>
          </w:tcPr>
          <w:p>
            <w:pPr>
              <w:jc w:val="left"/>
            </w:pPr>
            <w:r>
              <w:rPr>
                <w:rFonts w:ascii="Aptos" w:hAnsi="Aptos"/>
                <w:b/>
                <w:color w:val="18324A"/>
                <w:sz w:val="16"/>
              </w:rPr>
              <w:t>Success signal</w:t>
            </w:r>
          </w:p>
        </w:tc>
      </w:tr>
      <w:tr>
        <w:trPr>
          <w:cantSplit/>
        </w:trPr>
        <w:tc>
          <w:tcPr>
            <w:tcW w:type="dxa" w:w="1440"/>
            <w:tcMar>
              <w:top w:w="100" w:type="dxa"/>
              <w:start w:w="130" w:type="dxa"/>
              <w:bottom w:w="100" w:type="dxa"/>
              <w:end w:w="130" w:type="dxa"/>
            </w:tcMar>
            <w:vAlign w:val="center"/>
          </w:tcPr>
          <w:p>
            <w:pPr>
              <w:spacing w:after="0"/>
            </w:pPr>
            <w:r>
              <w:rPr>
                <w:rFonts w:ascii="Aptos" w:hAnsi="Aptos"/>
                <w:color w:val="252525"/>
                <w:sz w:val="16"/>
              </w:rPr>
              <w:t>Awareness</w:t>
            </w:r>
          </w:p>
        </w:tc>
        <w:tc>
          <w:tcPr>
            <w:tcW w:type="dxa" w:w="2520"/>
            <w:tcMar>
              <w:top w:w="100" w:type="dxa"/>
              <w:start w:w="130" w:type="dxa"/>
              <w:bottom w:w="100" w:type="dxa"/>
              <w:end w:w="130" w:type="dxa"/>
            </w:tcMar>
            <w:vAlign w:val="center"/>
          </w:tcPr>
          <w:p>
            <w:pPr>
              <w:spacing w:after="0"/>
            </w:pPr>
            <w:r>
              <w:rPr>
                <w:rFonts w:ascii="Aptos" w:hAnsi="Aptos"/>
                <w:color w:val="252525"/>
                <w:sz w:val="16"/>
              </w:rPr>
              <w:t>“My content is not reaching enough new people.”</w:t>
            </w:r>
          </w:p>
        </w:tc>
        <w:tc>
          <w:tcPr>
            <w:tcW w:type="dxa" w:w="3960"/>
            <w:tcMar>
              <w:top w:w="100" w:type="dxa"/>
              <w:start w:w="130" w:type="dxa"/>
              <w:bottom w:w="100" w:type="dxa"/>
              <w:end w:w="130" w:type="dxa"/>
            </w:tcMar>
            <w:vAlign w:val="center"/>
          </w:tcPr>
          <w:p>
            <w:pPr>
              <w:spacing w:after="0"/>
            </w:pPr>
            <w:r>
              <w:rPr>
                <w:rFonts w:ascii="Aptos" w:hAnsi="Aptos"/>
                <w:color w:val="252525"/>
                <w:sz w:val="16"/>
              </w:rPr>
              <w:t>Relatable Reels, local SEO tips and cross-cultural examples.</w:t>
            </w:r>
          </w:p>
        </w:tc>
        <w:tc>
          <w:tcPr>
            <w:tcW w:type="dxa" w:w="2376"/>
            <w:tcMar>
              <w:top w:w="100" w:type="dxa"/>
              <w:start w:w="130" w:type="dxa"/>
              <w:bottom w:w="100" w:type="dxa"/>
              <w:end w:w="130" w:type="dxa"/>
            </w:tcMar>
            <w:vAlign w:val="center"/>
          </w:tcPr>
          <w:p>
            <w:pPr>
              <w:spacing w:after="0"/>
            </w:pPr>
            <w:r>
              <w:rPr>
                <w:rFonts w:ascii="Aptos" w:hAnsi="Aptos"/>
                <w:color w:val="252525"/>
                <w:sz w:val="16"/>
              </w:rPr>
              <w:t>Video views, saves, profile visits</w:t>
            </w:r>
          </w:p>
        </w:tc>
      </w:tr>
      <w:tr>
        <w:trPr>
          <w:cantSplit/>
        </w:trPr>
        <w:tc>
          <w:tcPr>
            <w:tcW w:type="dxa" w:w="1440"/>
            <w:tcMar>
              <w:top w:w="100" w:type="dxa"/>
              <w:start w:w="130" w:type="dxa"/>
              <w:bottom w:w="100" w:type="dxa"/>
              <w:end w:w="130" w:type="dxa"/>
            </w:tcMar>
            <w:shd w:fill="F6F3EF"/>
            <w:vAlign w:val="center"/>
          </w:tcPr>
          <w:p>
            <w:pPr>
              <w:spacing w:after="0"/>
            </w:pPr>
            <w:r>
              <w:rPr>
                <w:rFonts w:ascii="Aptos" w:hAnsi="Aptos"/>
                <w:color w:val="252525"/>
                <w:sz w:val="16"/>
              </w:rPr>
              <w:t>Consideration</w:t>
            </w:r>
          </w:p>
        </w:tc>
        <w:tc>
          <w:tcPr>
            <w:tcW w:type="dxa" w:w="2520"/>
            <w:tcMar>
              <w:top w:w="100" w:type="dxa"/>
              <w:start w:w="130" w:type="dxa"/>
              <w:bottom w:w="100" w:type="dxa"/>
              <w:end w:w="130" w:type="dxa"/>
            </w:tcMar>
            <w:shd w:fill="F6F3EF"/>
            <w:vAlign w:val="center"/>
          </w:tcPr>
          <w:p>
            <w:pPr>
              <w:spacing w:after="0"/>
            </w:pPr>
            <w:r>
              <w:rPr>
                <w:rFonts w:ascii="Aptos" w:hAnsi="Aptos"/>
                <w:color w:val="252525"/>
                <w:sz w:val="16"/>
              </w:rPr>
              <w:t>“Does Yuniq understand my business?”</w:t>
            </w:r>
          </w:p>
        </w:tc>
        <w:tc>
          <w:tcPr>
            <w:tcW w:type="dxa" w:w="3960"/>
            <w:tcMar>
              <w:top w:w="100" w:type="dxa"/>
              <w:start w:w="130" w:type="dxa"/>
              <w:bottom w:w="100" w:type="dxa"/>
              <w:end w:w="130" w:type="dxa"/>
            </w:tcMar>
            <w:shd w:fill="F6F3EF"/>
            <w:vAlign w:val="center"/>
          </w:tcPr>
          <w:p>
            <w:pPr>
              <w:spacing w:after="0"/>
            </w:pPr>
            <w:r>
              <w:rPr>
                <w:rFonts w:ascii="Aptos" w:hAnsi="Aptos"/>
                <w:color w:val="252525"/>
                <w:sz w:val="16"/>
              </w:rPr>
              <w:t>Scorecard, case examples, checklist and founder story.</w:t>
            </w:r>
          </w:p>
        </w:tc>
        <w:tc>
          <w:tcPr>
            <w:tcW w:type="dxa" w:w="2376"/>
            <w:tcMar>
              <w:top w:w="100" w:type="dxa"/>
              <w:start w:w="130" w:type="dxa"/>
              <w:bottom w:w="100" w:type="dxa"/>
              <w:end w:w="130" w:type="dxa"/>
            </w:tcMar>
            <w:shd w:fill="F6F3EF"/>
            <w:vAlign w:val="center"/>
          </w:tcPr>
          <w:p>
            <w:pPr>
              <w:spacing w:after="0"/>
            </w:pPr>
            <w:r>
              <w:rPr>
                <w:rFonts w:ascii="Aptos" w:hAnsi="Aptos"/>
                <w:color w:val="252525"/>
                <w:sz w:val="16"/>
              </w:rPr>
              <w:t>Landing visits, opt-ins, replies</w:t>
            </w:r>
          </w:p>
        </w:tc>
      </w:tr>
      <w:tr>
        <w:trPr>
          <w:cantSplit/>
        </w:trPr>
        <w:tc>
          <w:tcPr>
            <w:tcW w:type="dxa" w:w="1440"/>
            <w:tcMar>
              <w:top w:w="100" w:type="dxa"/>
              <w:start w:w="130" w:type="dxa"/>
              <w:bottom w:w="100" w:type="dxa"/>
              <w:end w:w="130" w:type="dxa"/>
            </w:tcMar>
            <w:vAlign w:val="center"/>
          </w:tcPr>
          <w:p>
            <w:pPr>
              <w:spacing w:after="0"/>
            </w:pPr>
            <w:r>
              <w:rPr>
                <w:rFonts w:ascii="Aptos" w:hAnsi="Aptos"/>
                <w:color w:val="252525"/>
                <w:sz w:val="16"/>
              </w:rPr>
              <w:t>Decision</w:t>
            </w:r>
          </w:p>
        </w:tc>
        <w:tc>
          <w:tcPr>
            <w:tcW w:type="dxa" w:w="2520"/>
            <w:tcMar>
              <w:top w:w="100" w:type="dxa"/>
              <w:start w:w="130" w:type="dxa"/>
              <w:bottom w:w="100" w:type="dxa"/>
              <w:end w:w="130" w:type="dxa"/>
            </w:tcMar>
            <w:vAlign w:val="center"/>
          </w:tcPr>
          <w:p>
            <w:pPr>
              <w:spacing w:after="0"/>
            </w:pPr>
            <w:r>
              <w:rPr>
                <w:rFonts w:ascii="Aptos" w:hAnsi="Aptos"/>
                <w:color w:val="252525"/>
                <w:sz w:val="16"/>
              </w:rPr>
              <w:t>“Is this worth the risk?”</w:t>
            </w:r>
          </w:p>
        </w:tc>
        <w:tc>
          <w:tcPr>
            <w:tcW w:type="dxa" w:w="3960"/>
            <w:tcMar>
              <w:top w:w="100" w:type="dxa"/>
              <w:start w:w="130" w:type="dxa"/>
              <w:bottom w:w="100" w:type="dxa"/>
              <w:end w:w="130" w:type="dxa"/>
            </w:tcMar>
            <w:vAlign w:val="center"/>
          </w:tcPr>
          <w:p>
            <w:pPr>
              <w:spacing w:after="0"/>
            </w:pPr>
            <w:r>
              <w:rPr>
                <w:rFonts w:ascii="Aptos" w:hAnsi="Aptos"/>
                <w:color w:val="252525"/>
                <w:sz w:val="16"/>
              </w:rPr>
              <w:t>Free Visibility Check and defined paid pilot.</w:t>
            </w:r>
          </w:p>
        </w:tc>
        <w:tc>
          <w:tcPr>
            <w:tcW w:type="dxa" w:w="2376"/>
            <w:tcMar>
              <w:top w:w="100" w:type="dxa"/>
              <w:start w:w="130" w:type="dxa"/>
              <w:bottom w:w="100" w:type="dxa"/>
              <w:end w:w="130" w:type="dxa"/>
            </w:tcMar>
            <w:vAlign w:val="center"/>
          </w:tcPr>
          <w:p>
            <w:pPr>
              <w:spacing w:after="0"/>
            </w:pPr>
            <w:r>
              <w:rPr>
                <w:rFonts w:ascii="Aptos" w:hAnsi="Aptos"/>
                <w:color w:val="252525"/>
                <w:sz w:val="16"/>
              </w:rPr>
              <w:t>Bookings, qualified leads, proposals</w:t>
            </w:r>
          </w:p>
        </w:tc>
      </w:tr>
      <w:tr>
        <w:trPr>
          <w:cantSplit/>
        </w:trPr>
        <w:tc>
          <w:tcPr>
            <w:tcW w:type="dxa" w:w="1440"/>
            <w:tcMar>
              <w:top w:w="100" w:type="dxa"/>
              <w:start w:w="130" w:type="dxa"/>
              <w:bottom w:w="100" w:type="dxa"/>
              <w:end w:w="130" w:type="dxa"/>
            </w:tcMar>
            <w:shd w:fill="F6F3EF"/>
            <w:vAlign w:val="center"/>
          </w:tcPr>
          <w:p>
            <w:pPr>
              <w:spacing w:after="0"/>
            </w:pPr>
            <w:r>
              <w:rPr>
                <w:rFonts w:ascii="Aptos" w:hAnsi="Aptos"/>
                <w:color w:val="252525"/>
                <w:sz w:val="16"/>
              </w:rPr>
              <w:t>Early loyalty</w:t>
            </w:r>
          </w:p>
        </w:tc>
        <w:tc>
          <w:tcPr>
            <w:tcW w:type="dxa" w:w="2520"/>
            <w:tcMar>
              <w:top w:w="100" w:type="dxa"/>
              <w:start w:w="130" w:type="dxa"/>
              <w:bottom w:w="100" w:type="dxa"/>
              <w:end w:w="130" w:type="dxa"/>
            </w:tcMar>
            <w:shd w:fill="F6F3EF"/>
            <w:vAlign w:val="center"/>
          </w:tcPr>
          <w:p>
            <w:pPr>
              <w:spacing w:after="0"/>
            </w:pPr>
            <w:r>
              <w:rPr>
                <w:rFonts w:ascii="Aptos" w:hAnsi="Aptos"/>
                <w:color w:val="252525"/>
                <w:sz w:val="16"/>
              </w:rPr>
              <w:t>“Can this keep working?”</w:t>
            </w:r>
          </w:p>
        </w:tc>
        <w:tc>
          <w:tcPr>
            <w:tcW w:type="dxa" w:w="3960"/>
            <w:tcMar>
              <w:top w:w="100" w:type="dxa"/>
              <w:start w:w="130" w:type="dxa"/>
              <w:bottom w:w="100" w:type="dxa"/>
              <w:end w:w="130" w:type="dxa"/>
            </w:tcMar>
            <w:shd w:fill="F6F3EF"/>
            <w:vAlign w:val="center"/>
          </w:tcPr>
          <w:p>
            <w:pPr>
              <w:spacing w:after="0"/>
            </w:pPr>
            <w:r>
              <w:rPr>
                <w:rFonts w:ascii="Aptos" w:hAnsi="Aptos"/>
                <w:color w:val="252525"/>
                <w:sz w:val="16"/>
              </w:rPr>
              <w:t>Clear report, next-step plan and referral request.</w:t>
            </w:r>
          </w:p>
        </w:tc>
        <w:tc>
          <w:tcPr>
            <w:tcW w:type="dxa" w:w="2376"/>
            <w:tcMar>
              <w:top w:w="100" w:type="dxa"/>
              <w:start w:w="130" w:type="dxa"/>
              <w:bottom w:w="100" w:type="dxa"/>
              <w:end w:w="130" w:type="dxa"/>
            </w:tcMar>
            <w:shd w:fill="F6F3EF"/>
            <w:vAlign w:val="center"/>
          </w:tcPr>
          <w:p>
            <w:pPr>
              <w:spacing w:after="0"/>
            </w:pPr>
            <w:r>
              <w:rPr>
                <w:rFonts w:ascii="Aptos" w:hAnsi="Aptos"/>
                <w:color w:val="252525"/>
                <w:sz w:val="16"/>
              </w:rPr>
              <w:t>Pilot conversion, testimonial, referral</w:t>
            </w:r>
          </w:p>
        </w:tc>
      </w:tr>
    </w:tbl>
    <w:p>
      <w:pPr>
        <w:spacing w:after="20"/>
      </w:pPr>
    </w:p>
    <w:p>
      <w:pPr>
        <w:keepNext/>
        <w:spacing w:after="60"/>
      </w:pPr>
      <w:r>
        <w:rPr>
          <w:rFonts w:ascii="Aptos" w:hAnsi="Aptos"/>
          <w:b/>
          <w:color w:val="18324A"/>
          <w:sz w:val="18"/>
        </w:rPr>
        <w:t>DISTRIBUTION</w:t>
      </w:r>
    </w:p>
    <w:p>
      <w:pPr>
        <w:pStyle w:val="Heading1"/>
      </w:pPr>
      <w:r>
        <w:t>4. Media Channels</w:t>
      </w:r>
    </w:p>
    <w:p>
      <w:pPr>
        <w:spacing w:after="140" w:line="271" w:lineRule="auto"/>
      </w:pPr>
      <w:r>
        <w:rPr>
          <w:rFonts w:ascii="Aptos" w:hAnsi="Aptos"/>
          <w:color w:val="252525"/>
        </w:rPr>
        <w:t>Channel selection follows the persona and the acquisition objective. David has little time, so Yuniq must appear where he already looks for ideas while moving him toward owned channels where the relationship can continue. The mix emphasizes organic founder-led content, supported by a small paid retargeting budget.</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rPr>
          <w:tblHeader w:val="true"/>
          <w:cantSplit/>
        </w:trPr>
        <w:tc>
          <w:tcPr>
            <w:tcW w:type="dxa" w:w="1728"/>
            <w:shd w:fill="F3DF45"/>
            <w:tcMar>
              <w:top w:w="100" w:type="dxa"/>
              <w:start w:w="130" w:type="dxa"/>
              <w:bottom w:w="100" w:type="dxa"/>
              <w:end w:w="130" w:type="dxa"/>
            </w:tcMar>
          </w:tcPr>
          <w:p>
            <w:pPr>
              <w:jc w:val="left"/>
            </w:pPr>
            <w:r>
              <w:rPr>
                <w:rFonts w:ascii="Aptos" w:hAnsi="Aptos"/>
                <w:b/>
                <w:color w:val="18324A"/>
                <w:sz w:val="15"/>
              </w:rPr>
              <w:t>Channel</w:t>
            </w:r>
          </w:p>
        </w:tc>
        <w:tc>
          <w:tcPr>
            <w:tcW w:type="dxa" w:w="1080"/>
            <w:shd w:fill="F3DF45"/>
            <w:tcMar>
              <w:top w:w="100" w:type="dxa"/>
              <w:start w:w="130" w:type="dxa"/>
              <w:bottom w:w="100" w:type="dxa"/>
              <w:end w:w="130" w:type="dxa"/>
            </w:tcMar>
          </w:tcPr>
          <w:p>
            <w:pPr>
              <w:jc w:val="left"/>
            </w:pPr>
            <w:r>
              <w:rPr>
                <w:rFonts w:ascii="Aptos" w:hAnsi="Aptos"/>
                <w:b/>
                <w:color w:val="18324A"/>
                <w:sz w:val="15"/>
              </w:rPr>
              <w:t>Category</w:t>
            </w:r>
          </w:p>
        </w:tc>
        <w:tc>
          <w:tcPr>
            <w:tcW w:type="dxa" w:w="3528"/>
            <w:shd w:fill="F3DF45"/>
            <w:tcMar>
              <w:top w:w="100" w:type="dxa"/>
              <w:start w:w="130" w:type="dxa"/>
              <w:bottom w:w="100" w:type="dxa"/>
              <w:end w:w="130" w:type="dxa"/>
            </w:tcMar>
          </w:tcPr>
          <w:p>
            <w:pPr>
              <w:jc w:val="left"/>
            </w:pPr>
            <w:r>
              <w:rPr>
                <w:rFonts w:ascii="Aptos" w:hAnsi="Aptos"/>
                <w:b/>
                <w:color w:val="18324A"/>
                <w:sz w:val="15"/>
              </w:rPr>
              <w:t>Role in campaign</w:t>
            </w:r>
          </w:p>
        </w:tc>
        <w:tc>
          <w:tcPr>
            <w:tcW w:type="dxa" w:w="3960"/>
            <w:shd w:fill="F3DF45"/>
            <w:tcMar>
              <w:top w:w="100" w:type="dxa"/>
              <w:start w:w="130" w:type="dxa"/>
              <w:bottom w:w="100" w:type="dxa"/>
              <w:end w:w="130" w:type="dxa"/>
            </w:tcMar>
          </w:tcPr>
          <w:p>
            <w:pPr>
              <w:jc w:val="left"/>
            </w:pPr>
            <w:r>
              <w:rPr>
                <w:rFonts w:ascii="Aptos" w:hAnsi="Aptos"/>
                <w:b/>
                <w:color w:val="18324A"/>
                <w:sz w:val="15"/>
              </w:rPr>
              <w:t>Reason for selection</w:t>
            </w:r>
          </w:p>
        </w:tc>
      </w:tr>
      <w:tr>
        <w:trPr>
          <w:cantSplit/>
        </w:trPr>
        <w:tc>
          <w:tcPr>
            <w:tcW w:type="dxa" w:w="1728"/>
            <w:tcMar>
              <w:top w:w="100" w:type="dxa"/>
              <w:start w:w="130" w:type="dxa"/>
              <w:bottom w:w="100" w:type="dxa"/>
              <w:end w:w="130" w:type="dxa"/>
            </w:tcMar>
            <w:vAlign w:val="center"/>
          </w:tcPr>
          <w:p>
            <w:pPr>
              <w:spacing w:after="0"/>
            </w:pPr>
            <w:r>
              <w:rPr>
                <w:rFonts w:ascii="Aptos" w:hAnsi="Aptos"/>
                <w:color w:val="252525"/>
                <w:sz w:val="15"/>
              </w:rPr>
              <w:t>Website landing page + blog</w:t>
            </w:r>
          </w:p>
        </w:tc>
        <w:tc>
          <w:tcPr>
            <w:tcW w:type="dxa" w:w="1080"/>
            <w:tcMar>
              <w:top w:w="100" w:type="dxa"/>
              <w:start w:w="130" w:type="dxa"/>
              <w:bottom w:w="100" w:type="dxa"/>
              <w:end w:w="130" w:type="dxa"/>
            </w:tcMar>
            <w:vAlign w:val="center"/>
          </w:tcPr>
          <w:p>
            <w:pPr>
              <w:spacing w:after="0"/>
            </w:pPr>
            <w:r>
              <w:rPr>
                <w:rFonts w:ascii="Aptos" w:hAnsi="Aptos"/>
                <w:color w:val="252525"/>
                <w:sz w:val="15"/>
              </w:rPr>
              <w:t>Owned</w:t>
            </w:r>
          </w:p>
        </w:tc>
        <w:tc>
          <w:tcPr>
            <w:tcW w:type="dxa" w:w="3528"/>
            <w:tcMar>
              <w:top w:w="100" w:type="dxa"/>
              <w:start w:w="130" w:type="dxa"/>
              <w:bottom w:w="100" w:type="dxa"/>
              <w:end w:w="130" w:type="dxa"/>
            </w:tcMar>
            <w:vAlign w:val="center"/>
          </w:tcPr>
          <w:p>
            <w:pPr>
              <w:spacing w:after="0"/>
            </w:pPr>
            <w:r>
              <w:rPr>
                <w:rFonts w:ascii="Aptos" w:hAnsi="Aptos"/>
                <w:color w:val="252525"/>
                <w:sz w:val="15"/>
              </w:rPr>
              <w:t>Explain the offer, collect opt-ins and book consultations.</w:t>
            </w:r>
          </w:p>
        </w:tc>
        <w:tc>
          <w:tcPr>
            <w:tcW w:type="dxa" w:w="3960"/>
            <w:tcMar>
              <w:top w:w="100" w:type="dxa"/>
              <w:start w:w="130" w:type="dxa"/>
              <w:bottom w:w="100" w:type="dxa"/>
              <w:end w:w="130" w:type="dxa"/>
            </w:tcMar>
            <w:vAlign w:val="center"/>
          </w:tcPr>
          <w:p>
            <w:pPr>
              <w:spacing w:after="0"/>
            </w:pPr>
            <w:r>
              <w:rPr>
                <w:rFonts w:ascii="Aptos" w:hAnsi="Aptos"/>
                <w:color w:val="252525"/>
                <w:sz w:val="15"/>
              </w:rPr>
              <w:t>Conversion hub; supports search and UTM measurement.</w:t>
            </w:r>
          </w:p>
        </w:tc>
      </w:tr>
      <w:tr>
        <w:trPr>
          <w:cantSplit/>
        </w:trPr>
        <w:tc>
          <w:tcPr>
            <w:tcW w:type="dxa" w:w="1728"/>
            <w:tcMar>
              <w:top w:w="100" w:type="dxa"/>
              <w:start w:w="130" w:type="dxa"/>
              <w:bottom w:w="100" w:type="dxa"/>
              <w:end w:w="130" w:type="dxa"/>
            </w:tcMar>
            <w:shd w:fill="F6F3EF"/>
            <w:vAlign w:val="center"/>
          </w:tcPr>
          <w:p>
            <w:pPr>
              <w:spacing w:after="0"/>
            </w:pPr>
            <w:r>
              <w:rPr>
                <w:rFonts w:ascii="Aptos" w:hAnsi="Aptos"/>
                <w:color w:val="252525"/>
                <w:sz w:val="15"/>
              </w:rPr>
              <w:t>Email / Mailchimp</w:t>
            </w:r>
          </w:p>
        </w:tc>
        <w:tc>
          <w:tcPr>
            <w:tcW w:type="dxa" w:w="1080"/>
            <w:tcMar>
              <w:top w:w="100" w:type="dxa"/>
              <w:start w:w="130" w:type="dxa"/>
              <w:bottom w:w="100" w:type="dxa"/>
              <w:end w:w="130" w:type="dxa"/>
            </w:tcMar>
            <w:shd w:fill="F6F3EF"/>
            <w:vAlign w:val="center"/>
          </w:tcPr>
          <w:p>
            <w:pPr>
              <w:spacing w:after="0"/>
            </w:pPr>
            <w:r>
              <w:rPr>
                <w:rFonts w:ascii="Aptos" w:hAnsi="Aptos"/>
                <w:color w:val="252525"/>
                <w:sz w:val="15"/>
              </w:rPr>
              <w:t>Owned</w:t>
            </w:r>
          </w:p>
        </w:tc>
        <w:tc>
          <w:tcPr>
            <w:tcW w:type="dxa" w:w="3528"/>
            <w:tcMar>
              <w:top w:w="100" w:type="dxa"/>
              <w:start w:w="130" w:type="dxa"/>
              <w:bottom w:w="100" w:type="dxa"/>
              <w:end w:w="130" w:type="dxa"/>
            </w:tcMar>
            <w:shd w:fill="F6F3EF"/>
            <w:vAlign w:val="center"/>
          </w:tcPr>
          <w:p>
            <w:pPr>
              <w:spacing w:after="0"/>
            </w:pPr>
            <w:r>
              <w:rPr>
                <w:rFonts w:ascii="Aptos" w:hAnsi="Aptos"/>
                <w:color w:val="252525"/>
                <w:sz w:val="15"/>
              </w:rPr>
              <w:t>Deliver scorecard and nurture subscribers through 4 emails.</w:t>
            </w:r>
          </w:p>
        </w:tc>
        <w:tc>
          <w:tcPr>
            <w:tcW w:type="dxa" w:w="3960"/>
            <w:tcMar>
              <w:top w:w="100" w:type="dxa"/>
              <w:start w:w="130" w:type="dxa"/>
              <w:bottom w:w="100" w:type="dxa"/>
              <w:end w:w="130" w:type="dxa"/>
            </w:tcMar>
            <w:shd w:fill="F6F3EF"/>
            <w:vAlign w:val="center"/>
          </w:tcPr>
          <w:p>
            <w:pPr>
              <w:spacing w:after="0"/>
            </w:pPr>
            <w:r>
              <w:rPr>
                <w:rFonts w:ascii="Aptos" w:hAnsi="Aptos"/>
                <w:color w:val="252525"/>
                <w:sz w:val="15"/>
              </w:rPr>
              <w:t>Low-cost, direct and not controlled by an algorithm.</w:t>
            </w:r>
          </w:p>
        </w:tc>
      </w:tr>
      <w:tr>
        <w:trPr>
          <w:cantSplit/>
        </w:trPr>
        <w:tc>
          <w:tcPr>
            <w:tcW w:type="dxa" w:w="1728"/>
            <w:tcMar>
              <w:top w:w="100" w:type="dxa"/>
              <w:start w:w="130" w:type="dxa"/>
              <w:bottom w:w="100" w:type="dxa"/>
              <w:end w:w="130" w:type="dxa"/>
            </w:tcMar>
            <w:vAlign w:val="center"/>
          </w:tcPr>
          <w:p>
            <w:pPr>
              <w:spacing w:after="0"/>
            </w:pPr>
            <w:r>
              <w:rPr>
                <w:rFonts w:ascii="Aptos" w:hAnsi="Aptos"/>
                <w:color w:val="252525"/>
                <w:sz w:val="15"/>
              </w:rPr>
              <w:t>Instagram</w:t>
            </w:r>
          </w:p>
        </w:tc>
        <w:tc>
          <w:tcPr>
            <w:tcW w:type="dxa" w:w="1080"/>
            <w:tcMar>
              <w:top w:w="100" w:type="dxa"/>
              <w:start w:w="130" w:type="dxa"/>
              <w:bottom w:w="100" w:type="dxa"/>
              <w:end w:w="130" w:type="dxa"/>
            </w:tcMar>
            <w:vAlign w:val="center"/>
          </w:tcPr>
          <w:p>
            <w:pPr>
              <w:spacing w:after="0"/>
            </w:pPr>
            <w:r>
              <w:rPr>
                <w:rFonts w:ascii="Aptos" w:hAnsi="Aptos"/>
                <w:color w:val="252525"/>
                <w:sz w:val="15"/>
              </w:rPr>
              <w:t>Shared</w:t>
            </w:r>
          </w:p>
        </w:tc>
        <w:tc>
          <w:tcPr>
            <w:tcW w:type="dxa" w:w="3528"/>
            <w:tcMar>
              <w:top w:w="100" w:type="dxa"/>
              <w:start w:w="130" w:type="dxa"/>
              <w:bottom w:w="100" w:type="dxa"/>
              <w:end w:w="130" w:type="dxa"/>
            </w:tcMar>
            <w:vAlign w:val="center"/>
          </w:tcPr>
          <w:p>
            <w:pPr>
              <w:spacing w:after="0"/>
            </w:pPr>
            <w:r>
              <w:rPr>
                <w:rFonts w:ascii="Aptos" w:hAnsi="Aptos"/>
                <w:color w:val="252525"/>
                <w:sz w:val="15"/>
              </w:rPr>
              <w:t>Reels, carousels, Stories and local collaboration posts.</w:t>
            </w:r>
          </w:p>
        </w:tc>
        <w:tc>
          <w:tcPr>
            <w:tcW w:type="dxa" w:w="3960"/>
            <w:tcMar>
              <w:top w:w="100" w:type="dxa"/>
              <w:start w:w="130" w:type="dxa"/>
              <w:bottom w:w="100" w:type="dxa"/>
              <w:end w:w="130" w:type="dxa"/>
            </w:tcMar>
            <w:vAlign w:val="center"/>
          </w:tcPr>
          <w:p>
            <w:pPr>
              <w:spacing w:after="0"/>
            </w:pPr>
            <w:r>
              <w:rPr>
                <w:rFonts w:ascii="Aptos" w:hAnsi="Aptos"/>
                <w:color w:val="252525"/>
                <w:sz w:val="15"/>
              </w:rPr>
              <w:t>Strong visual fit for food, retail, service and creator content.</w:t>
            </w:r>
          </w:p>
        </w:tc>
      </w:tr>
      <w:tr>
        <w:trPr>
          <w:cantSplit/>
        </w:trPr>
        <w:tc>
          <w:tcPr>
            <w:tcW w:type="dxa" w:w="1728"/>
            <w:tcMar>
              <w:top w:w="100" w:type="dxa"/>
              <w:start w:w="130" w:type="dxa"/>
              <w:bottom w:w="100" w:type="dxa"/>
              <w:end w:w="130" w:type="dxa"/>
            </w:tcMar>
            <w:shd w:fill="F6F3EF"/>
            <w:vAlign w:val="center"/>
          </w:tcPr>
          <w:p>
            <w:pPr>
              <w:spacing w:after="0"/>
            </w:pPr>
            <w:r>
              <w:rPr>
                <w:rFonts w:ascii="Aptos" w:hAnsi="Aptos"/>
                <w:color w:val="252525"/>
                <w:sz w:val="15"/>
              </w:rPr>
              <w:t>TikTok</w:t>
            </w:r>
          </w:p>
        </w:tc>
        <w:tc>
          <w:tcPr>
            <w:tcW w:type="dxa" w:w="1080"/>
            <w:tcMar>
              <w:top w:w="100" w:type="dxa"/>
              <w:start w:w="130" w:type="dxa"/>
              <w:bottom w:w="100" w:type="dxa"/>
              <w:end w:w="130" w:type="dxa"/>
            </w:tcMar>
            <w:shd w:fill="F6F3EF"/>
            <w:vAlign w:val="center"/>
          </w:tcPr>
          <w:p>
            <w:pPr>
              <w:spacing w:after="0"/>
            </w:pPr>
            <w:r>
              <w:rPr>
                <w:rFonts w:ascii="Aptos" w:hAnsi="Aptos"/>
                <w:color w:val="252525"/>
                <w:sz w:val="15"/>
              </w:rPr>
              <w:t>Shared</w:t>
            </w:r>
          </w:p>
        </w:tc>
        <w:tc>
          <w:tcPr>
            <w:tcW w:type="dxa" w:w="3528"/>
            <w:tcMar>
              <w:top w:w="100" w:type="dxa"/>
              <w:start w:w="130" w:type="dxa"/>
              <w:bottom w:w="100" w:type="dxa"/>
              <w:end w:w="130" w:type="dxa"/>
            </w:tcMar>
            <w:shd w:fill="F6F3EF"/>
            <w:vAlign w:val="center"/>
          </w:tcPr>
          <w:p>
            <w:pPr>
              <w:spacing w:after="0"/>
            </w:pPr>
            <w:r>
              <w:rPr>
                <w:rFonts w:ascii="Aptos" w:hAnsi="Aptos"/>
                <w:color w:val="252525"/>
                <w:sz w:val="15"/>
              </w:rPr>
              <w:t>Fast educational and behind-the-scenes videos.</w:t>
            </w:r>
          </w:p>
        </w:tc>
        <w:tc>
          <w:tcPr>
            <w:tcW w:type="dxa" w:w="3960"/>
            <w:tcMar>
              <w:top w:w="100" w:type="dxa"/>
              <w:start w:w="130" w:type="dxa"/>
              <w:bottom w:w="100" w:type="dxa"/>
              <w:end w:w="130" w:type="dxa"/>
            </w:tcMar>
            <w:shd w:fill="F6F3EF"/>
            <w:vAlign w:val="center"/>
          </w:tcPr>
          <w:p>
            <w:pPr>
              <w:spacing w:after="0"/>
            </w:pPr>
            <w:r>
              <w:rPr>
                <w:rFonts w:ascii="Aptos" w:hAnsi="Aptos"/>
                <w:color w:val="252525"/>
                <w:sz w:val="15"/>
              </w:rPr>
              <w:t>Efficient discovery and authentic short-form storytelling.</w:t>
            </w:r>
          </w:p>
        </w:tc>
      </w:tr>
      <w:tr>
        <w:trPr>
          <w:cantSplit/>
        </w:trPr>
        <w:tc>
          <w:tcPr>
            <w:tcW w:type="dxa" w:w="1728"/>
            <w:tcMar>
              <w:top w:w="100" w:type="dxa"/>
              <w:start w:w="130" w:type="dxa"/>
              <w:bottom w:w="100" w:type="dxa"/>
              <w:end w:w="130" w:type="dxa"/>
            </w:tcMar>
            <w:vAlign w:val="center"/>
          </w:tcPr>
          <w:p>
            <w:pPr>
              <w:spacing w:after="0"/>
            </w:pPr>
            <w:r>
              <w:rPr>
                <w:rFonts w:ascii="Aptos" w:hAnsi="Aptos"/>
                <w:color w:val="252525"/>
                <w:sz w:val="15"/>
              </w:rPr>
              <w:t>Rednote</w:t>
            </w:r>
          </w:p>
        </w:tc>
        <w:tc>
          <w:tcPr>
            <w:tcW w:type="dxa" w:w="1080"/>
            <w:tcMar>
              <w:top w:w="100" w:type="dxa"/>
              <w:start w:w="130" w:type="dxa"/>
              <w:bottom w:w="100" w:type="dxa"/>
              <w:end w:w="130" w:type="dxa"/>
            </w:tcMar>
            <w:vAlign w:val="center"/>
          </w:tcPr>
          <w:p>
            <w:pPr>
              <w:spacing w:after="0"/>
            </w:pPr>
            <w:r>
              <w:rPr>
                <w:rFonts w:ascii="Aptos" w:hAnsi="Aptos"/>
                <w:color w:val="252525"/>
                <w:sz w:val="15"/>
              </w:rPr>
              <w:t>Shared</w:t>
            </w:r>
          </w:p>
        </w:tc>
        <w:tc>
          <w:tcPr>
            <w:tcW w:type="dxa" w:w="3528"/>
            <w:tcMar>
              <w:top w:w="100" w:type="dxa"/>
              <w:start w:w="130" w:type="dxa"/>
              <w:bottom w:w="100" w:type="dxa"/>
              <w:end w:w="130" w:type="dxa"/>
            </w:tcMar>
            <w:vAlign w:val="center"/>
          </w:tcPr>
          <w:p>
            <w:pPr>
              <w:spacing w:after="0"/>
            </w:pPr>
            <w:r>
              <w:rPr>
                <w:rFonts w:ascii="Aptos" w:hAnsi="Aptos"/>
                <w:color w:val="252525"/>
                <w:sz w:val="15"/>
              </w:rPr>
              <w:t>Chinese-language cultural adaptation and local discovery content.</w:t>
            </w:r>
          </w:p>
        </w:tc>
        <w:tc>
          <w:tcPr>
            <w:tcW w:type="dxa" w:w="3960"/>
            <w:tcMar>
              <w:top w:w="100" w:type="dxa"/>
              <w:start w:w="130" w:type="dxa"/>
              <w:bottom w:w="100" w:type="dxa"/>
              <w:end w:w="130" w:type="dxa"/>
            </w:tcMar>
            <w:vAlign w:val="center"/>
          </w:tcPr>
          <w:p>
            <w:pPr>
              <w:spacing w:after="0"/>
            </w:pPr>
            <w:r>
              <w:rPr>
                <w:rFonts w:ascii="Aptos" w:hAnsi="Aptos"/>
                <w:color w:val="252525"/>
                <w:sz w:val="15"/>
              </w:rPr>
              <w:t>Direct relevance to Chinese-speaking residents and immigrant-led businesses.</w:t>
            </w:r>
          </w:p>
        </w:tc>
      </w:tr>
      <w:tr>
        <w:trPr>
          <w:cantSplit/>
        </w:trPr>
        <w:tc>
          <w:tcPr>
            <w:tcW w:type="dxa" w:w="1728"/>
            <w:tcMar>
              <w:top w:w="100" w:type="dxa"/>
              <w:start w:w="130" w:type="dxa"/>
              <w:bottom w:w="100" w:type="dxa"/>
              <w:end w:w="130" w:type="dxa"/>
            </w:tcMar>
            <w:shd w:fill="F6F3EF"/>
            <w:vAlign w:val="center"/>
          </w:tcPr>
          <w:p>
            <w:pPr>
              <w:spacing w:after="0"/>
            </w:pPr>
            <w:r>
              <w:rPr>
                <w:rFonts w:ascii="Aptos" w:hAnsi="Aptos"/>
                <w:color w:val="252525"/>
                <w:sz w:val="15"/>
              </w:rPr>
              <w:t>LinkedIn</w:t>
            </w:r>
          </w:p>
        </w:tc>
        <w:tc>
          <w:tcPr>
            <w:tcW w:type="dxa" w:w="1080"/>
            <w:tcMar>
              <w:top w:w="100" w:type="dxa"/>
              <w:start w:w="130" w:type="dxa"/>
              <w:bottom w:w="100" w:type="dxa"/>
              <w:end w:w="130" w:type="dxa"/>
            </w:tcMar>
            <w:shd w:fill="F6F3EF"/>
            <w:vAlign w:val="center"/>
          </w:tcPr>
          <w:p>
            <w:pPr>
              <w:spacing w:after="0"/>
            </w:pPr>
            <w:r>
              <w:rPr>
                <w:rFonts w:ascii="Aptos" w:hAnsi="Aptos"/>
                <w:color w:val="252525"/>
                <w:sz w:val="15"/>
              </w:rPr>
              <w:t>Shared</w:t>
            </w:r>
          </w:p>
        </w:tc>
        <w:tc>
          <w:tcPr>
            <w:tcW w:type="dxa" w:w="3528"/>
            <w:tcMar>
              <w:top w:w="100" w:type="dxa"/>
              <w:start w:w="130" w:type="dxa"/>
              <w:bottom w:w="100" w:type="dxa"/>
              <w:end w:w="130" w:type="dxa"/>
            </w:tcMar>
            <w:shd w:fill="F6F3EF"/>
            <w:vAlign w:val="center"/>
          </w:tcPr>
          <w:p>
            <w:pPr>
              <w:spacing w:after="0"/>
            </w:pPr>
            <w:r>
              <w:rPr>
                <w:rFonts w:ascii="Aptos" w:hAnsi="Aptos"/>
                <w:color w:val="252525"/>
                <w:sz w:val="15"/>
              </w:rPr>
              <w:t>Founder expertise, case thinking and professional trust.</w:t>
            </w:r>
          </w:p>
        </w:tc>
        <w:tc>
          <w:tcPr>
            <w:tcW w:type="dxa" w:w="3960"/>
            <w:tcMar>
              <w:top w:w="100" w:type="dxa"/>
              <w:start w:w="130" w:type="dxa"/>
              <w:bottom w:w="100" w:type="dxa"/>
              <w:end w:w="130" w:type="dxa"/>
            </w:tcMar>
            <w:shd w:fill="F6F3EF"/>
            <w:vAlign w:val="center"/>
          </w:tcPr>
          <w:p>
            <w:pPr>
              <w:spacing w:after="0"/>
            </w:pPr>
            <w:r>
              <w:rPr>
                <w:rFonts w:ascii="Aptos" w:hAnsi="Aptos"/>
                <w:color w:val="252525"/>
                <w:sz w:val="15"/>
              </w:rPr>
              <w:t>Reaches owners, managers and referral partners.</w:t>
            </w:r>
          </w:p>
        </w:tc>
      </w:tr>
      <w:tr>
        <w:trPr>
          <w:cantSplit/>
        </w:trPr>
        <w:tc>
          <w:tcPr>
            <w:tcW w:type="dxa" w:w="1728"/>
            <w:tcMar>
              <w:top w:w="100" w:type="dxa"/>
              <w:start w:w="130" w:type="dxa"/>
              <w:bottom w:w="100" w:type="dxa"/>
              <w:end w:w="130" w:type="dxa"/>
            </w:tcMar>
            <w:vAlign w:val="center"/>
          </w:tcPr>
          <w:p>
            <w:pPr>
              <w:spacing w:after="0"/>
            </w:pPr>
            <w:r>
              <w:rPr>
                <w:rFonts w:ascii="Aptos" w:hAnsi="Aptos"/>
                <w:color w:val="252525"/>
                <w:sz w:val="15"/>
              </w:rPr>
              <w:t>Meta retargeting</w:t>
            </w:r>
          </w:p>
        </w:tc>
        <w:tc>
          <w:tcPr>
            <w:tcW w:type="dxa" w:w="1080"/>
            <w:tcMar>
              <w:top w:w="100" w:type="dxa"/>
              <w:start w:w="130" w:type="dxa"/>
              <w:bottom w:w="100" w:type="dxa"/>
              <w:end w:w="130" w:type="dxa"/>
            </w:tcMar>
            <w:vAlign w:val="center"/>
          </w:tcPr>
          <w:p>
            <w:pPr>
              <w:spacing w:after="0"/>
            </w:pPr>
            <w:r>
              <w:rPr>
                <w:rFonts w:ascii="Aptos" w:hAnsi="Aptos"/>
                <w:color w:val="252525"/>
                <w:sz w:val="15"/>
              </w:rPr>
              <w:t>Paid</w:t>
            </w:r>
          </w:p>
        </w:tc>
        <w:tc>
          <w:tcPr>
            <w:tcW w:type="dxa" w:w="3528"/>
            <w:tcMar>
              <w:top w:w="100" w:type="dxa"/>
              <w:start w:w="130" w:type="dxa"/>
              <w:bottom w:w="100" w:type="dxa"/>
              <w:end w:w="130" w:type="dxa"/>
            </w:tcMar>
            <w:vAlign w:val="center"/>
          </w:tcPr>
          <w:p>
            <w:pPr>
              <w:spacing w:after="0"/>
            </w:pPr>
            <w:r>
              <w:rPr>
                <w:rFonts w:ascii="Aptos" w:hAnsi="Aptos"/>
                <w:color w:val="252525"/>
                <w:sz w:val="15"/>
              </w:rPr>
              <w:t>Retarget landing visitors and engaged users with the scorecard/consultation CTA.</w:t>
            </w:r>
          </w:p>
        </w:tc>
        <w:tc>
          <w:tcPr>
            <w:tcW w:type="dxa" w:w="3960"/>
            <w:tcMar>
              <w:top w:w="100" w:type="dxa"/>
              <w:start w:w="130" w:type="dxa"/>
              <w:bottom w:w="100" w:type="dxa"/>
              <w:end w:w="130" w:type="dxa"/>
            </w:tcMar>
            <w:vAlign w:val="center"/>
          </w:tcPr>
          <w:p>
            <w:pPr>
              <w:spacing w:after="0"/>
            </w:pPr>
            <w:r>
              <w:rPr>
                <w:rFonts w:ascii="Aptos" w:hAnsi="Aptos"/>
                <w:color w:val="252525"/>
                <w:sz w:val="15"/>
              </w:rPr>
              <w:t>Controls spend and prioritizes warm users instead of broad cold ads.</w:t>
            </w:r>
          </w:p>
        </w:tc>
      </w:tr>
      <w:tr>
        <w:trPr>
          <w:cantSplit/>
        </w:trPr>
        <w:tc>
          <w:tcPr>
            <w:tcW w:type="dxa" w:w="1728"/>
            <w:tcMar>
              <w:top w:w="100" w:type="dxa"/>
              <w:start w:w="130" w:type="dxa"/>
              <w:bottom w:w="100" w:type="dxa"/>
              <w:end w:w="130" w:type="dxa"/>
            </w:tcMar>
            <w:shd w:fill="F6F3EF"/>
            <w:vAlign w:val="center"/>
          </w:tcPr>
          <w:p>
            <w:pPr>
              <w:spacing w:after="0"/>
            </w:pPr>
            <w:r>
              <w:rPr>
                <w:rFonts w:ascii="Aptos" w:hAnsi="Aptos"/>
                <w:color w:val="252525"/>
                <w:sz w:val="15"/>
              </w:rPr>
              <w:t>Partner/creator reshares</w:t>
            </w:r>
          </w:p>
        </w:tc>
        <w:tc>
          <w:tcPr>
            <w:tcW w:type="dxa" w:w="1080"/>
            <w:tcMar>
              <w:top w:w="100" w:type="dxa"/>
              <w:start w:w="130" w:type="dxa"/>
              <w:bottom w:w="100" w:type="dxa"/>
              <w:end w:w="130" w:type="dxa"/>
            </w:tcMar>
            <w:shd w:fill="F6F3EF"/>
            <w:vAlign w:val="center"/>
          </w:tcPr>
          <w:p>
            <w:pPr>
              <w:spacing w:after="0"/>
            </w:pPr>
            <w:r>
              <w:rPr>
                <w:rFonts w:ascii="Aptos" w:hAnsi="Aptos"/>
                <w:color w:val="252525"/>
                <w:sz w:val="15"/>
              </w:rPr>
              <w:t>Earned</w:t>
            </w:r>
          </w:p>
        </w:tc>
        <w:tc>
          <w:tcPr>
            <w:tcW w:type="dxa" w:w="3528"/>
            <w:tcMar>
              <w:top w:w="100" w:type="dxa"/>
              <w:start w:w="130" w:type="dxa"/>
              <w:bottom w:w="100" w:type="dxa"/>
              <w:end w:w="130" w:type="dxa"/>
            </w:tcMar>
            <w:shd w:fill="F6F3EF"/>
            <w:vAlign w:val="center"/>
          </w:tcPr>
          <w:p>
            <w:pPr>
              <w:spacing w:after="0"/>
            </w:pPr>
            <w:r>
              <w:rPr>
                <w:rFonts w:ascii="Aptos" w:hAnsi="Aptos"/>
                <w:color w:val="252525"/>
                <w:sz w:val="15"/>
              </w:rPr>
              <w:t>Community associations, local creators and past collaborators amplify selected posts.</w:t>
            </w:r>
          </w:p>
        </w:tc>
        <w:tc>
          <w:tcPr>
            <w:tcW w:type="dxa" w:w="3960"/>
            <w:tcMar>
              <w:top w:w="100" w:type="dxa"/>
              <w:start w:w="130" w:type="dxa"/>
              <w:bottom w:w="100" w:type="dxa"/>
              <w:end w:w="130" w:type="dxa"/>
            </w:tcMar>
            <w:shd w:fill="F6F3EF"/>
            <w:vAlign w:val="center"/>
          </w:tcPr>
          <w:p>
            <w:pPr>
              <w:spacing w:after="0"/>
            </w:pPr>
            <w:r>
              <w:rPr>
                <w:rFonts w:ascii="Aptos" w:hAnsi="Aptos"/>
                <w:color w:val="252525"/>
                <w:sz w:val="15"/>
              </w:rPr>
              <w:t>Adds trust and extends reach without depending only on paid media.</w:t>
            </w:r>
          </w:p>
        </w:tc>
      </w:tr>
    </w:tbl>
    <w:p>
      <w:pPr>
        <w:spacing w:after="20"/>
      </w:pPr>
    </w:p>
    <w:p>
      <w:pPr>
        <w:pStyle w:val="Heading2"/>
      </w:pPr>
      <w:r>
        <w:t>Channel integration</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rPr>
          <w:tblHeader w:val="true"/>
          <w:cantSplit/>
        </w:trPr>
        <w:tc>
          <w:tcPr>
            <w:tcW w:type="dxa" w:w="2592"/>
            <w:shd w:fill="F3DF45"/>
            <w:tcMar>
              <w:top w:w="100" w:type="dxa"/>
              <w:start w:w="130" w:type="dxa"/>
              <w:bottom w:w="100" w:type="dxa"/>
              <w:end w:w="130" w:type="dxa"/>
            </w:tcMar>
          </w:tcPr>
          <w:p>
            <w:pPr>
              <w:jc w:val="left"/>
            </w:pPr>
            <w:r>
              <w:rPr>
                <w:rFonts w:ascii="Aptos" w:hAnsi="Aptos"/>
                <w:b/>
                <w:color w:val="18324A"/>
                <w:sz w:val="17"/>
              </w:rPr>
              <w:t>Discover</w:t>
            </w:r>
          </w:p>
        </w:tc>
        <w:tc>
          <w:tcPr>
            <w:tcW w:type="dxa" w:w="2736"/>
            <w:shd w:fill="F3DF45"/>
            <w:tcMar>
              <w:top w:w="100" w:type="dxa"/>
              <w:start w:w="130" w:type="dxa"/>
              <w:bottom w:w="100" w:type="dxa"/>
              <w:end w:w="130" w:type="dxa"/>
            </w:tcMar>
          </w:tcPr>
          <w:p>
            <w:pPr>
              <w:jc w:val="left"/>
            </w:pPr>
            <w:r>
              <w:rPr>
                <w:rFonts w:ascii="Aptos" w:hAnsi="Aptos"/>
                <w:b/>
                <w:color w:val="18324A"/>
                <w:sz w:val="17"/>
              </w:rPr>
              <w:t>Capture</w:t>
            </w:r>
          </w:p>
        </w:tc>
        <w:tc>
          <w:tcPr>
            <w:tcW w:type="dxa" w:w="2520"/>
            <w:shd w:fill="F3DF45"/>
            <w:tcMar>
              <w:top w:w="100" w:type="dxa"/>
              <w:start w:w="130" w:type="dxa"/>
              <w:bottom w:w="100" w:type="dxa"/>
              <w:end w:w="130" w:type="dxa"/>
            </w:tcMar>
          </w:tcPr>
          <w:p>
            <w:pPr>
              <w:jc w:val="left"/>
            </w:pPr>
            <w:r>
              <w:rPr>
                <w:rFonts w:ascii="Aptos" w:hAnsi="Aptos"/>
                <w:b/>
                <w:color w:val="18324A"/>
                <w:sz w:val="17"/>
              </w:rPr>
              <w:t>Nurture</w:t>
            </w:r>
          </w:p>
        </w:tc>
        <w:tc>
          <w:tcPr>
            <w:tcW w:type="dxa" w:w="2448"/>
            <w:shd w:fill="F3DF45"/>
            <w:tcMar>
              <w:top w:w="100" w:type="dxa"/>
              <w:start w:w="130" w:type="dxa"/>
              <w:bottom w:w="100" w:type="dxa"/>
              <w:end w:w="130" w:type="dxa"/>
            </w:tcMar>
          </w:tcPr>
          <w:p>
            <w:pPr>
              <w:jc w:val="left"/>
            </w:pPr>
            <w:r>
              <w:rPr>
                <w:rFonts w:ascii="Aptos" w:hAnsi="Aptos"/>
                <w:b/>
                <w:color w:val="18324A"/>
                <w:sz w:val="17"/>
              </w:rPr>
              <w:t>Convert</w:t>
            </w:r>
          </w:p>
        </w:tc>
      </w:tr>
      <w:tr>
        <w:trPr>
          <w:cantSplit/>
        </w:trPr>
        <w:tc>
          <w:tcPr>
            <w:tcW w:type="dxa" w:w="2592"/>
            <w:tcMar>
              <w:top w:w="100" w:type="dxa"/>
              <w:start w:w="130" w:type="dxa"/>
              <w:bottom w:w="100" w:type="dxa"/>
              <w:end w:w="130" w:type="dxa"/>
            </w:tcMar>
            <w:vAlign w:val="center"/>
          </w:tcPr>
          <w:p>
            <w:pPr>
              <w:spacing w:after="0"/>
            </w:pPr>
            <w:r>
              <w:rPr>
                <w:rFonts w:ascii="Aptos" w:hAnsi="Aptos"/>
                <w:color w:val="252525"/>
                <w:sz w:val="17"/>
              </w:rPr>
              <w:t>Reels, TikTok, Rednote, LinkedIn, partner reshares</w:t>
            </w:r>
          </w:p>
        </w:tc>
        <w:tc>
          <w:tcPr>
            <w:tcW w:type="dxa" w:w="2736"/>
            <w:tcMar>
              <w:top w:w="100" w:type="dxa"/>
              <w:start w:w="130" w:type="dxa"/>
              <w:bottom w:w="100" w:type="dxa"/>
              <w:end w:w="130" w:type="dxa"/>
            </w:tcMar>
            <w:vAlign w:val="center"/>
          </w:tcPr>
          <w:p>
            <w:pPr>
              <w:spacing w:after="0"/>
            </w:pPr>
            <w:r>
              <w:rPr>
                <w:rFonts w:ascii="Aptos" w:hAnsi="Aptos"/>
                <w:color w:val="252525"/>
                <w:sz w:val="17"/>
              </w:rPr>
              <w:t>Landing page + Calgary Local Visibility Scorecard</w:t>
            </w:r>
          </w:p>
        </w:tc>
        <w:tc>
          <w:tcPr>
            <w:tcW w:type="dxa" w:w="2520"/>
            <w:tcMar>
              <w:top w:w="100" w:type="dxa"/>
              <w:start w:w="130" w:type="dxa"/>
              <w:bottom w:w="100" w:type="dxa"/>
              <w:end w:w="130" w:type="dxa"/>
            </w:tcMar>
            <w:vAlign w:val="center"/>
          </w:tcPr>
          <w:p>
            <w:pPr>
              <w:spacing w:after="0"/>
            </w:pPr>
            <w:r>
              <w:rPr>
                <w:rFonts w:ascii="Aptos" w:hAnsi="Aptos"/>
                <w:color w:val="252525"/>
                <w:sz w:val="17"/>
              </w:rPr>
              <w:t>Four-email sequence + practical case content</w:t>
            </w:r>
          </w:p>
        </w:tc>
        <w:tc>
          <w:tcPr>
            <w:tcW w:type="dxa" w:w="2448"/>
            <w:tcMar>
              <w:top w:w="100" w:type="dxa"/>
              <w:start w:w="130" w:type="dxa"/>
              <w:bottom w:w="100" w:type="dxa"/>
              <w:end w:w="130" w:type="dxa"/>
            </w:tcMar>
            <w:vAlign w:val="center"/>
          </w:tcPr>
          <w:p>
            <w:pPr>
              <w:spacing w:after="0"/>
            </w:pPr>
            <w:r>
              <w:rPr>
                <w:rFonts w:ascii="Aptos" w:hAnsi="Aptos"/>
                <w:color w:val="252525"/>
                <w:sz w:val="17"/>
              </w:rPr>
              <w:t>Free 20-minute Visibility Check + paid pilot offer</w:t>
            </w:r>
          </w:p>
        </w:tc>
      </w:tr>
    </w:tbl>
    <w:p>
      <w:pPr>
        <w:spacing w:after="20"/>
      </w:pPr>
    </w:p>
    <w:p>
      <w:pPr>
        <w:spacing w:after="140" w:line="271" w:lineRule="auto"/>
      </w:pPr>
      <w:r>
        <w:rPr>
          <w:rFonts w:ascii="Aptos" w:hAnsi="Aptos"/>
          <w:color w:val="252525"/>
        </w:rPr>
        <w:t>Every campaign link will use a channel-specific UTM source and medium. This makes it possible to compare traffic, opt-ins and bookings by platform. A single consistent landing page reduces tracking gaps and makes the customer journey easier to understand.</w:t>
      </w:r>
    </w:p>
    <w:p>
      <w:pPr>
        <w:keepNext/>
        <w:spacing w:after="60"/>
      </w:pPr>
      <w:r>
        <w:rPr>
          <w:rFonts w:ascii="Aptos" w:hAnsi="Aptos"/>
          <w:b/>
          <w:color w:val="18324A"/>
          <w:sz w:val="18"/>
        </w:rPr>
        <w:t>ACQUISITION CAMPAIGN</w:t>
      </w:r>
    </w:p>
    <w:p>
      <w:pPr>
        <w:pStyle w:val="Heading1"/>
      </w:pPr>
      <w:r>
        <w:t>5. Campaign Overview</w:t>
      </w:r>
    </w:p>
    <w:p>
      <w:pPr>
        <w:pStyle w:val="Heading2"/>
      </w:pPr>
      <w:r>
        <w:t>Campaign objective and concept</w:t>
      </w:r>
    </w:p>
    <w:p>
      <w:pPr>
        <w:spacing w:after="140" w:line="271" w:lineRule="auto"/>
      </w:pPr>
      <w:r>
        <w:rPr>
          <w:rFonts w:ascii="Aptos" w:hAnsi="Aptos"/>
          <w:color w:val="252525"/>
        </w:rPr>
        <w:t>The campaign objective is acquisition: turn relevant attention into identifiable prospects and then into qualified consultations. “Beyond One Community” dramatizes a familiar problem for immigrant-led businesses: customers inside one community may already understand the brand, while many nearby Calgary customers do not know why they should visit or buy.</w:t>
      </w:r>
    </w:p>
    <w:tbl>
      <w:tblPr>
        <w:tblW w:type="auto" w:w="0"/>
        <w:jc w:val="center"/>
        <w:tblLayout w:type="fixed"/>
        <w:tblLook w:firstColumn="1" w:firstRow="1" w:lastColumn="0" w:lastRow="0" w:noHBand="0" w:noVBand="1" w:val="04A0"/>
      </w:tblPr>
      <w:tblGrid>
        <w:gridCol w:w="9878"/>
      </w:tblGrid>
      <w:tr>
        <w:trPr>
          <w:cantSplit/>
        </w:trPr>
        <w:tc>
          <w:tcPr>
            <w:tcW w:type="dxa" w:w="9360"/>
            <w:shd w:fill="FFF9CF"/>
            <w:tcMar>
              <w:top w:w="170" w:type="dxa"/>
              <w:start w:w="200" w:type="dxa"/>
              <w:bottom w:w="170" w:type="dxa"/>
              <w:end w:w="200" w:type="dxa"/>
            </w:tcMar>
          </w:tcPr>
          <w:p>
            <w:pPr>
              <w:spacing w:after="100"/>
            </w:pPr>
            <w:r>
              <w:rPr>
                <w:rFonts w:ascii="Aptos" w:hAnsi="Aptos"/>
                <w:b/>
                <w:color w:val="18324A"/>
                <w:sz w:val="22"/>
              </w:rPr>
              <w:t>CORE MESSAGE</w:t>
            </w:r>
          </w:p>
          <w:p>
            <w:pPr>
              <w:spacing w:after="0"/>
            </w:pPr>
            <w:r>
              <w:rPr>
                <w:rFonts w:ascii="Aptos" w:hAnsi="Aptos"/>
                <w:color w:val="252525"/>
                <w:sz w:val="20"/>
              </w:rPr>
              <w:t>Your business does not need to lose its identity to reach more people. It needs clearer, culturally aware content and one measurable next step.</w:t>
            </w:r>
          </w:p>
        </w:tc>
      </w:tr>
    </w:tbl>
    <w:p>
      <w:pPr>
        <w:spacing w:after="40"/>
      </w:pPr>
    </w:p>
    <w:p>
      <w:pPr>
        <w:pStyle w:val="Heading2"/>
      </w:pPr>
      <w:r>
        <w:t>Offer and calls to action</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1800"/>
            <w:shd w:fill="F3DF45"/>
            <w:tcMar>
              <w:top w:w="100" w:type="dxa"/>
              <w:start w:w="130" w:type="dxa"/>
              <w:bottom w:w="100" w:type="dxa"/>
              <w:end w:w="130" w:type="dxa"/>
            </w:tcMar>
          </w:tcPr>
          <w:p>
            <w:pPr>
              <w:jc w:val="left"/>
            </w:pPr>
            <w:r>
              <w:rPr>
                <w:rFonts w:ascii="Aptos" w:hAnsi="Aptos"/>
                <w:b/>
                <w:color w:val="18324A"/>
                <w:sz w:val="17"/>
              </w:rPr>
              <w:t>Level</w:t>
            </w:r>
          </w:p>
        </w:tc>
        <w:tc>
          <w:tcPr>
            <w:tcW w:type="dxa" w:w="4608"/>
            <w:shd w:fill="F3DF45"/>
            <w:tcMar>
              <w:top w:w="100" w:type="dxa"/>
              <w:start w:w="130" w:type="dxa"/>
              <w:bottom w:w="100" w:type="dxa"/>
              <w:end w:w="130" w:type="dxa"/>
            </w:tcMar>
          </w:tcPr>
          <w:p>
            <w:pPr>
              <w:jc w:val="left"/>
            </w:pPr>
            <w:r>
              <w:rPr>
                <w:rFonts w:ascii="Aptos" w:hAnsi="Aptos"/>
                <w:b/>
                <w:color w:val="18324A"/>
                <w:sz w:val="17"/>
              </w:rPr>
              <w:t>Offer / CTA</w:t>
            </w:r>
          </w:p>
        </w:tc>
        <w:tc>
          <w:tcPr>
            <w:tcW w:type="dxa" w:w="3888"/>
            <w:shd w:fill="F3DF45"/>
            <w:tcMar>
              <w:top w:w="100" w:type="dxa"/>
              <w:start w:w="130" w:type="dxa"/>
              <w:bottom w:w="100" w:type="dxa"/>
              <w:end w:w="130" w:type="dxa"/>
            </w:tcMar>
          </w:tcPr>
          <w:p>
            <w:pPr>
              <w:jc w:val="left"/>
            </w:pPr>
            <w:r>
              <w:rPr>
                <w:rFonts w:ascii="Aptos" w:hAnsi="Aptos"/>
                <w:b/>
                <w:color w:val="18324A"/>
                <w:sz w:val="17"/>
              </w:rPr>
              <w:t>Purpose</w:t>
            </w:r>
          </w:p>
        </w:tc>
      </w:tr>
      <w:tr>
        <w:trPr>
          <w:cantSplit/>
        </w:trPr>
        <w:tc>
          <w:tcPr>
            <w:tcW w:type="dxa" w:w="1800"/>
            <w:tcMar>
              <w:top w:w="100" w:type="dxa"/>
              <w:start w:w="130" w:type="dxa"/>
              <w:bottom w:w="100" w:type="dxa"/>
              <w:end w:w="130" w:type="dxa"/>
            </w:tcMar>
            <w:vAlign w:val="center"/>
          </w:tcPr>
          <w:p>
            <w:pPr>
              <w:spacing w:after="0"/>
            </w:pPr>
            <w:r>
              <w:rPr>
                <w:rFonts w:ascii="Aptos" w:hAnsi="Aptos"/>
                <w:color w:val="252525"/>
                <w:sz w:val="17"/>
              </w:rPr>
              <w:t>Low commitment</w:t>
            </w:r>
          </w:p>
        </w:tc>
        <w:tc>
          <w:tcPr>
            <w:tcW w:type="dxa" w:w="4608"/>
            <w:tcMar>
              <w:top w:w="100" w:type="dxa"/>
              <w:start w:w="130" w:type="dxa"/>
              <w:bottom w:w="100" w:type="dxa"/>
              <w:end w:w="130" w:type="dxa"/>
            </w:tcMar>
            <w:vAlign w:val="center"/>
          </w:tcPr>
          <w:p>
            <w:pPr>
              <w:spacing w:after="0"/>
            </w:pPr>
            <w:r>
              <w:rPr>
                <w:rFonts w:ascii="Aptos" w:hAnsi="Aptos"/>
                <w:color w:val="252525"/>
                <w:sz w:val="17"/>
              </w:rPr>
              <w:t>Save this post / follow for practical Calgary marketing ideas.</w:t>
            </w:r>
          </w:p>
        </w:tc>
        <w:tc>
          <w:tcPr>
            <w:tcW w:type="dxa" w:w="3888"/>
            <w:tcMar>
              <w:top w:w="100" w:type="dxa"/>
              <w:start w:w="130" w:type="dxa"/>
              <w:bottom w:w="100" w:type="dxa"/>
              <w:end w:w="130" w:type="dxa"/>
            </w:tcMar>
            <w:vAlign w:val="center"/>
          </w:tcPr>
          <w:p>
            <w:pPr>
              <w:spacing w:after="0"/>
            </w:pPr>
            <w:r>
              <w:rPr>
                <w:rFonts w:ascii="Aptos" w:hAnsi="Aptos"/>
                <w:color w:val="252525"/>
                <w:sz w:val="17"/>
              </w:rPr>
              <w:t>Build familiarity and create retargeting audiences.</w:t>
            </w:r>
          </w:p>
        </w:tc>
      </w:tr>
      <w:tr>
        <w:trPr>
          <w:cantSplit/>
        </w:trPr>
        <w:tc>
          <w:tcPr>
            <w:tcW w:type="dxa" w:w="1800"/>
            <w:tcMar>
              <w:top w:w="100" w:type="dxa"/>
              <w:start w:w="130" w:type="dxa"/>
              <w:bottom w:w="100" w:type="dxa"/>
              <w:end w:w="130" w:type="dxa"/>
            </w:tcMar>
            <w:shd w:fill="F6F3EF"/>
            <w:vAlign w:val="center"/>
          </w:tcPr>
          <w:p>
            <w:pPr>
              <w:spacing w:after="0"/>
            </w:pPr>
            <w:r>
              <w:rPr>
                <w:rFonts w:ascii="Aptos" w:hAnsi="Aptos"/>
                <w:color w:val="252525"/>
                <w:sz w:val="17"/>
              </w:rPr>
              <w:t>Lead capture</w:t>
            </w:r>
          </w:p>
        </w:tc>
        <w:tc>
          <w:tcPr>
            <w:tcW w:type="dxa" w:w="4608"/>
            <w:tcMar>
              <w:top w:w="100" w:type="dxa"/>
              <w:start w:w="130" w:type="dxa"/>
              <w:bottom w:w="100" w:type="dxa"/>
              <w:end w:w="130" w:type="dxa"/>
            </w:tcMar>
            <w:shd w:fill="F6F3EF"/>
            <w:vAlign w:val="center"/>
          </w:tcPr>
          <w:p>
            <w:pPr>
              <w:spacing w:after="0"/>
            </w:pPr>
            <w:r>
              <w:rPr>
                <w:rFonts w:ascii="Aptos" w:hAnsi="Aptos"/>
                <w:color w:val="252525"/>
                <w:sz w:val="17"/>
              </w:rPr>
              <w:t>Download the free Calgary Local Visibility Scorecard.</w:t>
            </w:r>
          </w:p>
        </w:tc>
        <w:tc>
          <w:tcPr>
            <w:tcW w:type="dxa" w:w="3888"/>
            <w:tcMar>
              <w:top w:w="100" w:type="dxa"/>
              <w:start w:w="130" w:type="dxa"/>
              <w:bottom w:w="100" w:type="dxa"/>
              <w:end w:w="130" w:type="dxa"/>
            </w:tcMar>
            <w:shd w:fill="F6F3EF"/>
            <w:vAlign w:val="center"/>
          </w:tcPr>
          <w:p>
            <w:pPr>
              <w:spacing w:after="0"/>
            </w:pPr>
            <w:r>
              <w:rPr>
                <w:rFonts w:ascii="Aptos" w:hAnsi="Aptos"/>
                <w:color w:val="252525"/>
                <w:sz w:val="17"/>
              </w:rPr>
              <w:t>Exchange immediate value for permission to email.</w:t>
            </w:r>
          </w:p>
        </w:tc>
      </w:tr>
      <w:tr>
        <w:trPr>
          <w:cantSplit/>
        </w:trPr>
        <w:tc>
          <w:tcPr>
            <w:tcW w:type="dxa" w:w="1800"/>
            <w:tcMar>
              <w:top w:w="100" w:type="dxa"/>
              <w:start w:w="130" w:type="dxa"/>
              <w:bottom w:w="100" w:type="dxa"/>
              <w:end w:w="130" w:type="dxa"/>
            </w:tcMar>
            <w:vAlign w:val="center"/>
          </w:tcPr>
          <w:p>
            <w:pPr>
              <w:spacing w:after="0"/>
            </w:pPr>
            <w:r>
              <w:rPr>
                <w:rFonts w:ascii="Aptos" w:hAnsi="Aptos"/>
                <w:color w:val="252525"/>
                <w:sz w:val="17"/>
              </w:rPr>
              <w:t>Primary conversion</w:t>
            </w:r>
          </w:p>
        </w:tc>
        <w:tc>
          <w:tcPr>
            <w:tcW w:type="dxa" w:w="4608"/>
            <w:tcMar>
              <w:top w:w="100" w:type="dxa"/>
              <w:start w:w="130" w:type="dxa"/>
              <w:bottom w:w="100" w:type="dxa"/>
              <w:end w:w="130" w:type="dxa"/>
            </w:tcMar>
            <w:vAlign w:val="center"/>
          </w:tcPr>
          <w:p>
            <w:pPr>
              <w:spacing w:after="0"/>
            </w:pPr>
            <w:r>
              <w:rPr>
                <w:rFonts w:ascii="Aptos" w:hAnsi="Aptos"/>
                <w:color w:val="252525"/>
                <w:sz w:val="17"/>
              </w:rPr>
              <w:t>Book a free 20-minute Visibility Check.</w:t>
            </w:r>
          </w:p>
        </w:tc>
        <w:tc>
          <w:tcPr>
            <w:tcW w:type="dxa" w:w="3888"/>
            <w:tcMar>
              <w:top w:w="100" w:type="dxa"/>
              <w:start w:w="130" w:type="dxa"/>
              <w:bottom w:w="100" w:type="dxa"/>
              <w:end w:w="130" w:type="dxa"/>
            </w:tcMar>
            <w:vAlign w:val="center"/>
          </w:tcPr>
          <w:p>
            <w:pPr>
              <w:spacing w:after="0"/>
            </w:pPr>
            <w:r>
              <w:rPr>
                <w:rFonts w:ascii="Aptos" w:hAnsi="Aptos"/>
                <w:color w:val="252525"/>
                <w:sz w:val="17"/>
              </w:rPr>
              <w:t>Qualify the need and recommend the next best action.</w:t>
            </w:r>
          </w:p>
        </w:tc>
      </w:tr>
      <w:tr>
        <w:trPr>
          <w:cantSplit/>
        </w:trPr>
        <w:tc>
          <w:tcPr>
            <w:tcW w:type="dxa" w:w="1800"/>
            <w:tcMar>
              <w:top w:w="100" w:type="dxa"/>
              <w:start w:w="130" w:type="dxa"/>
              <w:bottom w:w="100" w:type="dxa"/>
              <w:end w:w="130" w:type="dxa"/>
            </w:tcMar>
            <w:shd w:fill="F6F3EF"/>
            <w:vAlign w:val="center"/>
          </w:tcPr>
          <w:p>
            <w:pPr>
              <w:spacing w:after="0"/>
            </w:pPr>
            <w:r>
              <w:rPr>
                <w:rFonts w:ascii="Aptos" w:hAnsi="Aptos"/>
                <w:color w:val="252525"/>
                <w:sz w:val="17"/>
              </w:rPr>
              <w:t>Revenue</w:t>
            </w:r>
          </w:p>
        </w:tc>
        <w:tc>
          <w:tcPr>
            <w:tcW w:type="dxa" w:w="4608"/>
            <w:tcMar>
              <w:top w:w="100" w:type="dxa"/>
              <w:start w:w="130" w:type="dxa"/>
              <w:bottom w:w="100" w:type="dxa"/>
              <w:end w:w="130" w:type="dxa"/>
            </w:tcMar>
            <w:shd w:fill="F6F3EF"/>
            <w:vAlign w:val="center"/>
          </w:tcPr>
          <w:p>
            <w:pPr>
              <w:spacing w:after="0"/>
            </w:pPr>
            <w:r>
              <w:rPr>
                <w:rFonts w:ascii="Aptos" w:hAnsi="Aptos"/>
                <w:color w:val="252525"/>
                <w:sz w:val="17"/>
              </w:rPr>
              <w:t>Start a 30-day bilingual visibility pilot.</w:t>
            </w:r>
          </w:p>
        </w:tc>
        <w:tc>
          <w:tcPr>
            <w:tcW w:type="dxa" w:w="3888"/>
            <w:tcMar>
              <w:top w:w="100" w:type="dxa"/>
              <w:start w:w="130" w:type="dxa"/>
              <w:bottom w:w="100" w:type="dxa"/>
              <w:end w:w="130" w:type="dxa"/>
            </w:tcMar>
            <w:shd w:fill="F6F3EF"/>
            <w:vAlign w:val="center"/>
          </w:tcPr>
          <w:p>
            <w:pPr>
              <w:spacing w:after="0"/>
            </w:pPr>
            <w:r>
              <w:rPr>
                <w:rFonts w:ascii="Aptos" w:hAnsi="Aptos"/>
                <w:color w:val="252525"/>
                <w:sz w:val="17"/>
              </w:rPr>
              <w:t>Convert qualified prospects with a defined, lower-risk scope.</w:t>
            </w:r>
          </w:p>
        </w:tc>
      </w:tr>
    </w:tbl>
    <w:p>
      <w:pPr>
        <w:spacing w:after="20"/>
      </w:pPr>
    </w:p>
    <w:p>
      <w:pPr>
        <w:pStyle w:val="Heading2"/>
      </w:pPr>
      <w:r>
        <w:t>Campaign funnel and content pillars</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2232"/>
            <w:shd w:fill="F3DF45"/>
            <w:tcMar>
              <w:top w:w="100" w:type="dxa"/>
              <w:start w:w="130" w:type="dxa"/>
              <w:bottom w:w="100" w:type="dxa"/>
              <w:end w:w="130" w:type="dxa"/>
            </w:tcMar>
          </w:tcPr>
          <w:p>
            <w:pPr>
              <w:jc w:val="left"/>
            </w:pPr>
            <w:r>
              <w:rPr>
                <w:rFonts w:ascii="Aptos" w:hAnsi="Aptos"/>
                <w:b/>
                <w:color w:val="18324A"/>
                <w:sz w:val="16"/>
              </w:rPr>
              <w:t>Content pillar</w:t>
            </w:r>
          </w:p>
        </w:tc>
        <w:tc>
          <w:tcPr>
            <w:tcW w:type="dxa" w:w="5400"/>
            <w:shd w:fill="F3DF45"/>
            <w:tcMar>
              <w:top w:w="100" w:type="dxa"/>
              <w:start w:w="130" w:type="dxa"/>
              <w:bottom w:w="100" w:type="dxa"/>
              <w:end w:w="130" w:type="dxa"/>
            </w:tcMar>
          </w:tcPr>
          <w:p>
            <w:pPr>
              <w:jc w:val="left"/>
            </w:pPr>
            <w:r>
              <w:rPr>
                <w:rFonts w:ascii="Aptos" w:hAnsi="Aptos"/>
                <w:b/>
                <w:color w:val="18324A"/>
                <w:sz w:val="16"/>
              </w:rPr>
              <w:t>Example</w:t>
            </w:r>
          </w:p>
        </w:tc>
        <w:tc>
          <w:tcPr>
            <w:tcW w:type="dxa" w:w="2664"/>
            <w:shd w:fill="F3DF45"/>
            <w:tcMar>
              <w:top w:w="100" w:type="dxa"/>
              <w:start w:w="130" w:type="dxa"/>
              <w:bottom w:w="100" w:type="dxa"/>
              <w:end w:w="130" w:type="dxa"/>
            </w:tcMar>
          </w:tcPr>
          <w:p>
            <w:pPr>
              <w:jc w:val="left"/>
            </w:pPr>
            <w:r>
              <w:rPr>
                <w:rFonts w:ascii="Aptos" w:hAnsi="Aptos"/>
                <w:b/>
                <w:color w:val="18324A"/>
                <w:sz w:val="16"/>
              </w:rPr>
              <w:t>Funnel role</w:t>
            </w:r>
          </w:p>
        </w:tc>
      </w:tr>
      <w:tr>
        <w:trPr>
          <w:cantSplit/>
        </w:trPr>
        <w:tc>
          <w:tcPr>
            <w:tcW w:type="dxa" w:w="2232"/>
            <w:tcMar>
              <w:top w:w="100" w:type="dxa"/>
              <w:start w:w="130" w:type="dxa"/>
              <w:bottom w:w="100" w:type="dxa"/>
              <w:end w:w="130" w:type="dxa"/>
            </w:tcMar>
            <w:vAlign w:val="center"/>
          </w:tcPr>
          <w:p>
            <w:pPr>
              <w:spacing w:after="0"/>
            </w:pPr>
            <w:r>
              <w:rPr>
                <w:rFonts w:ascii="Aptos" w:hAnsi="Aptos"/>
                <w:color w:val="252525"/>
                <w:sz w:val="16"/>
              </w:rPr>
              <w:t>Visibility problems</w:t>
            </w:r>
          </w:p>
        </w:tc>
        <w:tc>
          <w:tcPr>
            <w:tcW w:type="dxa" w:w="5400"/>
            <w:tcMar>
              <w:top w:w="100" w:type="dxa"/>
              <w:start w:w="130" w:type="dxa"/>
              <w:bottom w:w="100" w:type="dxa"/>
              <w:end w:w="130" w:type="dxa"/>
            </w:tcMar>
            <w:vAlign w:val="center"/>
          </w:tcPr>
          <w:p>
            <w:pPr>
              <w:spacing w:after="0"/>
            </w:pPr>
            <w:r>
              <w:rPr>
                <w:rFonts w:ascii="Aptos" w:hAnsi="Aptos"/>
                <w:color w:val="252525"/>
                <w:sz w:val="16"/>
              </w:rPr>
              <w:t>“Three reasons Calgary customers scroll past a great restaurant.”</w:t>
            </w:r>
          </w:p>
        </w:tc>
        <w:tc>
          <w:tcPr>
            <w:tcW w:type="dxa" w:w="2664"/>
            <w:tcMar>
              <w:top w:w="100" w:type="dxa"/>
              <w:start w:w="130" w:type="dxa"/>
              <w:bottom w:w="100" w:type="dxa"/>
              <w:end w:w="130" w:type="dxa"/>
            </w:tcMar>
            <w:vAlign w:val="center"/>
          </w:tcPr>
          <w:p>
            <w:pPr>
              <w:spacing w:after="0"/>
            </w:pPr>
            <w:r>
              <w:rPr>
                <w:rFonts w:ascii="Aptos" w:hAnsi="Aptos"/>
                <w:color w:val="252525"/>
                <w:sz w:val="16"/>
              </w:rPr>
              <w:t>Awareness</w:t>
            </w:r>
          </w:p>
        </w:tc>
      </w:tr>
      <w:tr>
        <w:trPr>
          <w:cantSplit/>
        </w:trPr>
        <w:tc>
          <w:tcPr>
            <w:tcW w:type="dxa" w:w="2232"/>
            <w:tcMar>
              <w:top w:w="100" w:type="dxa"/>
              <w:start w:w="130" w:type="dxa"/>
              <w:bottom w:w="100" w:type="dxa"/>
              <w:end w:w="130" w:type="dxa"/>
            </w:tcMar>
            <w:shd w:fill="F6F3EF"/>
            <w:vAlign w:val="center"/>
          </w:tcPr>
          <w:p>
            <w:pPr>
              <w:spacing w:after="0"/>
            </w:pPr>
            <w:r>
              <w:rPr>
                <w:rFonts w:ascii="Aptos" w:hAnsi="Aptos"/>
                <w:color w:val="252525"/>
                <w:sz w:val="16"/>
              </w:rPr>
              <w:t>Practical education</w:t>
            </w:r>
          </w:p>
        </w:tc>
        <w:tc>
          <w:tcPr>
            <w:tcW w:type="dxa" w:w="5400"/>
            <w:tcMar>
              <w:top w:w="100" w:type="dxa"/>
              <w:start w:w="130" w:type="dxa"/>
              <w:bottom w:w="100" w:type="dxa"/>
              <w:end w:w="130" w:type="dxa"/>
            </w:tcMar>
            <w:shd w:fill="F6F3EF"/>
            <w:vAlign w:val="center"/>
          </w:tcPr>
          <w:p>
            <w:pPr>
              <w:spacing w:after="0"/>
            </w:pPr>
            <w:r>
              <w:rPr>
                <w:rFonts w:ascii="Aptos" w:hAnsi="Aptos"/>
                <w:color w:val="252525"/>
                <w:sz w:val="16"/>
              </w:rPr>
              <w:t>Hooks, local keywords, CTA fixes and UTM basics.</w:t>
            </w:r>
          </w:p>
        </w:tc>
        <w:tc>
          <w:tcPr>
            <w:tcW w:type="dxa" w:w="2664"/>
            <w:tcMar>
              <w:top w:w="100" w:type="dxa"/>
              <w:start w:w="130" w:type="dxa"/>
              <w:bottom w:w="100" w:type="dxa"/>
              <w:end w:w="130" w:type="dxa"/>
            </w:tcMar>
            <w:shd w:fill="F6F3EF"/>
            <w:vAlign w:val="center"/>
          </w:tcPr>
          <w:p>
            <w:pPr>
              <w:spacing w:after="0"/>
            </w:pPr>
            <w:r>
              <w:rPr>
                <w:rFonts w:ascii="Aptos" w:hAnsi="Aptos"/>
                <w:color w:val="252525"/>
                <w:sz w:val="16"/>
              </w:rPr>
              <w:t>Awareness / consideration</w:t>
            </w:r>
          </w:p>
        </w:tc>
      </w:tr>
      <w:tr>
        <w:trPr>
          <w:cantSplit/>
        </w:trPr>
        <w:tc>
          <w:tcPr>
            <w:tcW w:type="dxa" w:w="2232"/>
            <w:tcMar>
              <w:top w:w="100" w:type="dxa"/>
              <w:start w:w="130" w:type="dxa"/>
              <w:bottom w:w="100" w:type="dxa"/>
              <w:end w:w="130" w:type="dxa"/>
            </w:tcMar>
            <w:vAlign w:val="center"/>
          </w:tcPr>
          <w:p>
            <w:pPr>
              <w:spacing w:after="0"/>
            </w:pPr>
            <w:r>
              <w:rPr>
                <w:rFonts w:ascii="Aptos" w:hAnsi="Aptos"/>
                <w:color w:val="252525"/>
                <w:sz w:val="16"/>
              </w:rPr>
              <w:t>Proof and process</w:t>
            </w:r>
          </w:p>
        </w:tc>
        <w:tc>
          <w:tcPr>
            <w:tcW w:type="dxa" w:w="5400"/>
            <w:tcMar>
              <w:top w:w="100" w:type="dxa"/>
              <w:start w:w="130" w:type="dxa"/>
              <w:bottom w:w="100" w:type="dxa"/>
              <w:end w:w="130" w:type="dxa"/>
            </w:tcMar>
            <w:vAlign w:val="center"/>
          </w:tcPr>
          <w:p>
            <w:pPr>
              <w:spacing w:after="0"/>
            </w:pPr>
            <w:r>
              <w:rPr>
                <w:rFonts w:ascii="Aptos" w:hAnsi="Aptos"/>
                <w:color w:val="252525"/>
                <w:sz w:val="16"/>
              </w:rPr>
              <w:t>Before-and-after content, campaign breakdowns and creator workflow.</w:t>
            </w:r>
          </w:p>
        </w:tc>
        <w:tc>
          <w:tcPr>
            <w:tcW w:type="dxa" w:w="2664"/>
            <w:tcMar>
              <w:top w:w="100" w:type="dxa"/>
              <w:start w:w="130" w:type="dxa"/>
              <w:bottom w:w="100" w:type="dxa"/>
              <w:end w:w="130" w:type="dxa"/>
            </w:tcMar>
            <w:vAlign w:val="center"/>
          </w:tcPr>
          <w:p>
            <w:pPr>
              <w:spacing w:after="0"/>
            </w:pPr>
            <w:r>
              <w:rPr>
                <w:rFonts w:ascii="Aptos" w:hAnsi="Aptos"/>
                <w:color w:val="252525"/>
                <w:sz w:val="16"/>
              </w:rPr>
              <w:t>Consideration</w:t>
            </w:r>
          </w:p>
        </w:tc>
      </w:tr>
      <w:tr>
        <w:trPr>
          <w:cantSplit/>
        </w:trPr>
        <w:tc>
          <w:tcPr>
            <w:tcW w:type="dxa" w:w="2232"/>
            <w:tcMar>
              <w:top w:w="100" w:type="dxa"/>
              <w:start w:w="130" w:type="dxa"/>
              <w:bottom w:w="100" w:type="dxa"/>
              <w:end w:w="130" w:type="dxa"/>
            </w:tcMar>
            <w:shd w:fill="F6F3EF"/>
            <w:vAlign w:val="center"/>
          </w:tcPr>
          <w:p>
            <w:pPr>
              <w:spacing w:after="0"/>
            </w:pPr>
            <w:r>
              <w:rPr>
                <w:rFonts w:ascii="Aptos" w:hAnsi="Aptos"/>
                <w:color w:val="252525"/>
                <w:sz w:val="16"/>
              </w:rPr>
              <w:t>Cross-cultural insight</w:t>
            </w:r>
          </w:p>
        </w:tc>
        <w:tc>
          <w:tcPr>
            <w:tcW w:type="dxa" w:w="5400"/>
            <w:tcMar>
              <w:top w:w="100" w:type="dxa"/>
              <w:start w:w="130" w:type="dxa"/>
              <w:bottom w:w="100" w:type="dxa"/>
              <w:end w:w="130" w:type="dxa"/>
            </w:tcMar>
            <w:shd w:fill="F6F3EF"/>
            <w:vAlign w:val="center"/>
          </w:tcPr>
          <w:p>
            <w:pPr>
              <w:spacing w:after="0"/>
            </w:pPr>
            <w:r>
              <w:rPr>
                <w:rFonts w:ascii="Aptos" w:hAnsi="Aptos"/>
                <w:color w:val="252525"/>
                <w:sz w:val="16"/>
              </w:rPr>
              <w:t>How to adapt a message across English and Chinese audiences.</w:t>
            </w:r>
          </w:p>
        </w:tc>
        <w:tc>
          <w:tcPr>
            <w:tcW w:type="dxa" w:w="2664"/>
            <w:tcMar>
              <w:top w:w="100" w:type="dxa"/>
              <w:start w:w="130" w:type="dxa"/>
              <w:bottom w:w="100" w:type="dxa"/>
              <w:end w:w="130" w:type="dxa"/>
            </w:tcMar>
            <w:shd w:fill="F6F3EF"/>
            <w:vAlign w:val="center"/>
          </w:tcPr>
          <w:p>
            <w:pPr>
              <w:spacing w:after="0"/>
            </w:pPr>
            <w:r>
              <w:rPr>
                <w:rFonts w:ascii="Aptos" w:hAnsi="Aptos"/>
                <w:color w:val="252525"/>
                <w:sz w:val="16"/>
              </w:rPr>
              <w:t>Consideration / differentiation</w:t>
            </w:r>
          </w:p>
        </w:tc>
      </w:tr>
      <w:tr>
        <w:trPr>
          <w:cantSplit/>
        </w:trPr>
        <w:tc>
          <w:tcPr>
            <w:tcW w:type="dxa" w:w="2232"/>
            <w:tcMar>
              <w:top w:w="100" w:type="dxa"/>
              <w:start w:w="130" w:type="dxa"/>
              <w:bottom w:w="100" w:type="dxa"/>
              <w:end w:w="130" w:type="dxa"/>
            </w:tcMar>
            <w:vAlign w:val="center"/>
          </w:tcPr>
          <w:p>
            <w:pPr>
              <w:spacing w:after="0"/>
            </w:pPr>
            <w:r>
              <w:rPr>
                <w:rFonts w:ascii="Aptos" w:hAnsi="Aptos"/>
                <w:color w:val="252525"/>
                <w:sz w:val="16"/>
              </w:rPr>
              <w:t>Invitation</w:t>
            </w:r>
          </w:p>
        </w:tc>
        <w:tc>
          <w:tcPr>
            <w:tcW w:type="dxa" w:w="5400"/>
            <w:tcMar>
              <w:top w:w="100" w:type="dxa"/>
              <w:start w:w="130" w:type="dxa"/>
              <w:bottom w:w="100" w:type="dxa"/>
              <w:end w:w="130" w:type="dxa"/>
            </w:tcMar>
            <w:vAlign w:val="center"/>
          </w:tcPr>
          <w:p>
            <w:pPr>
              <w:spacing w:after="0"/>
            </w:pPr>
            <w:r>
              <w:rPr>
                <w:rFonts w:ascii="Aptos" w:hAnsi="Aptos"/>
                <w:color w:val="252525"/>
                <w:sz w:val="16"/>
              </w:rPr>
              <w:t>Scorecard, Visibility Check and 30-day pilot.</w:t>
            </w:r>
          </w:p>
        </w:tc>
        <w:tc>
          <w:tcPr>
            <w:tcW w:type="dxa" w:w="2664"/>
            <w:tcMar>
              <w:top w:w="100" w:type="dxa"/>
              <w:start w:w="130" w:type="dxa"/>
              <w:bottom w:w="100" w:type="dxa"/>
              <w:end w:w="130" w:type="dxa"/>
            </w:tcMar>
            <w:vAlign w:val="center"/>
          </w:tcPr>
          <w:p>
            <w:pPr>
              <w:spacing w:after="0"/>
            </w:pPr>
            <w:r>
              <w:rPr>
                <w:rFonts w:ascii="Aptos" w:hAnsi="Aptos"/>
                <w:color w:val="252525"/>
                <w:sz w:val="16"/>
              </w:rPr>
              <w:t>Conversion</w:t>
            </w:r>
          </w:p>
        </w:tc>
      </w:tr>
    </w:tbl>
    <w:p>
      <w:pPr>
        <w:spacing w:after="20"/>
      </w:pPr>
    </w:p>
    <w:p>
      <w:pPr>
        <w:pStyle w:val="Heading2"/>
      </w:pPr>
      <w:r>
        <w:t>Three-month sequence</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rPr>
          <w:tblHeader w:val="true"/>
          <w:cantSplit/>
        </w:trPr>
        <w:tc>
          <w:tcPr>
            <w:tcW w:type="dxa" w:w="1440"/>
            <w:shd w:fill="F3DF45"/>
            <w:tcMar>
              <w:top w:w="100" w:type="dxa"/>
              <w:start w:w="130" w:type="dxa"/>
              <w:bottom w:w="100" w:type="dxa"/>
              <w:end w:w="130" w:type="dxa"/>
            </w:tcMar>
          </w:tcPr>
          <w:p>
            <w:pPr>
              <w:jc w:val="left"/>
            </w:pPr>
            <w:r>
              <w:rPr>
                <w:rFonts w:ascii="Aptos" w:hAnsi="Aptos"/>
                <w:b/>
                <w:color w:val="18324A"/>
                <w:sz w:val="15"/>
              </w:rPr>
              <w:t>Month</w:t>
            </w:r>
          </w:p>
        </w:tc>
        <w:tc>
          <w:tcPr>
            <w:tcW w:type="dxa" w:w="2088"/>
            <w:shd w:fill="F3DF45"/>
            <w:tcMar>
              <w:top w:w="100" w:type="dxa"/>
              <w:start w:w="130" w:type="dxa"/>
              <w:bottom w:w="100" w:type="dxa"/>
              <w:end w:w="130" w:type="dxa"/>
            </w:tcMar>
          </w:tcPr>
          <w:p>
            <w:pPr>
              <w:jc w:val="left"/>
            </w:pPr>
            <w:r>
              <w:rPr>
                <w:rFonts w:ascii="Aptos" w:hAnsi="Aptos"/>
                <w:b/>
                <w:color w:val="18324A"/>
                <w:sz w:val="15"/>
              </w:rPr>
              <w:t>Focus</w:t>
            </w:r>
          </w:p>
        </w:tc>
        <w:tc>
          <w:tcPr>
            <w:tcW w:type="dxa" w:w="5400"/>
            <w:shd w:fill="F3DF45"/>
            <w:tcMar>
              <w:top w:w="100" w:type="dxa"/>
              <w:start w:w="130" w:type="dxa"/>
              <w:bottom w:w="100" w:type="dxa"/>
              <w:end w:w="130" w:type="dxa"/>
            </w:tcMar>
          </w:tcPr>
          <w:p>
            <w:pPr>
              <w:jc w:val="left"/>
            </w:pPr>
            <w:r>
              <w:rPr>
                <w:rFonts w:ascii="Aptos" w:hAnsi="Aptos"/>
                <w:b/>
                <w:color w:val="18324A"/>
                <w:sz w:val="15"/>
              </w:rPr>
              <w:t>Key actions</w:t>
            </w:r>
          </w:p>
        </w:tc>
        <w:tc>
          <w:tcPr>
            <w:tcW w:type="dxa" w:w="1440"/>
            <w:shd w:fill="F3DF45"/>
            <w:tcMar>
              <w:top w:w="100" w:type="dxa"/>
              <w:start w:w="130" w:type="dxa"/>
              <w:bottom w:w="100" w:type="dxa"/>
              <w:end w:w="130" w:type="dxa"/>
            </w:tcMar>
          </w:tcPr>
          <w:p>
            <w:pPr>
              <w:jc w:val="left"/>
            </w:pPr>
            <w:r>
              <w:rPr>
                <w:rFonts w:ascii="Aptos" w:hAnsi="Aptos"/>
                <w:b/>
                <w:color w:val="18324A"/>
                <w:sz w:val="15"/>
              </w:rPr>
              <w:t>Primary KPI</w:t>
            </w:r>
          </w:p>
        </w:tc>
      </w:tr>
      <w:tr>
        <w:trPr>
          <w:cantSplit/>
        </w:trPr>
        <w:tc>
          <w:tcPr>
            <w:tcW w:type="dxa" w:w="1440"/>
            <w:tcMar>
              <w:top w:w="100" w:type="dxa"/>
              <w:start w:w="130" w:type="dxa"/>
              <w:bottom w:w="100" w:type="dxa"/>
              <w:end w:w="130" w:type="dxa"/>
            </w:tcMar>
            <w:vAlign w:val="center"/>
          </w:tcPr>
          <w:p>
            <w:pPr>
              <w:spacing w:after="0"/>
            </w:pPr>
            <w:r>
              <w:rPr>
                <w:rFonts w:ascii="Aptos" w:hAnsi="Aptos"/>
                <w:color w:val="252525"/>
                <w:sz w:val="15"/>
              </w:rPr>
              <w:t>October</w:t>
            </w:r>
          </w:p>
        </w:tc>
        <w:tc>
          <w:tcPr>
            <w:tcW w:type="dxa" w:w="2088"/>
            <w:tcMar>
              <w:top w:w="100" w:type="dxa"/>
              <w:start w:w="130" w:type="dxa"/>
              <w:bottom w:w="100" w:type="dxa"/>
              <w:end w:w="130" w:type="dxa"/>
            </w:tcMar>
            <w:vAlign w:val="center"/>
          </w:tcPr>
          <w:p>
            <w:pPr>
              <w:spacing w:after="0"/>
            </w:pPr>
            <w:r>
              <w:rPr>
                <w:rFonts w:ascii="Aptos" w:hAnsi="Aptos"/>
                <w:color w:val="252525"/>
                <w:sz w:val="15"/>
              </w:rPr>
              <w:t>Problem awareness</w:t>
            </w:r>
          </w:p>
        </w:tc>
        <w:tc>
          <w:tcPr>
            <w:tcW w:type="dxa" w:w="5400"/>
            <w:tcMar>
              <w:top w:w="100" w:type="dxa"/>
              <w:start w:w="130" w:type="dxa"/>
              <w:bottom w:w="100" w:type="dxa"/>
              <w:end w:w="130" w:type="dxa"/>
            </w:tcMar>
            <w:vAlign w:val="center"/>
          </w:tcPr>
          <w:p>
            <w:pPr>
              <w:spacing w:after="0"/>
            </w:pPr>
            <w:r>
              <w:rPr>
                <w:rFonts w:ascii="Aptos" w:hAnsi="Aptos"/>
                <w:color w:val="252525"/>
                <w:sz w:val="15"/>
              </w:rPr>
              <w:t>Launch hero Reel, 2 educational Reels/week, 1 carousel/week, founder LinkedIn posts, scorecard landing page.</w:t>
            </w:r>
          </w:p>
        </w:tc>
        <w:tc>
          <w:tcPr>
            <w:tcW w:type="dxa" w:w="1440"/>
            <w:tcMar>
              <w:top w:w="100" w:type="dxa"/>
              <w:start w:w="130" w:type="dxa"/>
              <w:bottom w:w="100" w:type="dxa"/>
              <w:end w:w="130" w:type="dxa"/>
            </w:tcMar>
            <w:vAlign w:val="center"/>
          </w:tcPr>
          <w:p>
            <w:pPr>
              <w:spacing w:after="0"/>
            </w:pPr>
            <w:r>
              <w:rPr>
                <w:rFonts w:ascii="Aptos" w:hAnsi="Aptos"/>
                <w:color w:val="252525"/>
                <w:sz w:val="15"/>
              </w:rPr>
              <w:t>Reach, saves, landing visits</w:t>
            </w:r>
          </w:p>
        </w:tc>
      </w:tr>
      <w:tr>
        <w:trPr>
          <w:cantSplit/>
        </w:trPr>
        <w:tc>
          <w:tcPr>
            <w:tcW w:type="dxa" w:w="1440"/>
            <w:tcMar>
              <w:top w:w="100" w:type="dxa"/>
              <w:start w:w="130" w:type="dxa"/>
              <w:bottom w:w="100" w:type="dxa"/>
              <w:end w:w="130" w:type="dxa"/>
            </w:tcMar>
            <w:shd w:fill="F6F3EF"/>
            <w:vAlign w:val="center"/>
          </w:tcPr>
          <w:p>
            <w:pPr>
              <w:spacing w:after="0"/>
            </w:pPr>
            <w:r>
              <w:rPr>
                <w:rFonts w:ascii="Aptos" w:hAnsi="Aptos"/>
                <w:color w:val="252525"/>
                <w:sz w:val="15"/>
              </w:rPr>
              <w:t>November</w:t>
            </w:r>
          </w:p>
        </w:tc>
        <w:tc>
          <w:tcPr>
            <w:tcW w:type="dxa" w:w="2088"/>
            <w:tcMar>
              <w:top w:w="100" w:type="dxa"/>
              <w:start w:w="130" w:type="dxa"/>
              <w:bottom w:w="100" w:type="dxa"/>
              <w:end w:w="130" w:type="dxa"/>
            </w:tcMar>
            <w:shd w:fill="F6F3EF"/>
            <w:vAlign w:val="center"/>
          </w:tcPr>
          <w:p>
            <w:pPr>
              <w:spacing w:after="0"/>
            </w:pPr>
            <w:r>
              <w:rPr>
                <w:rFonts w:ascii="Aptos" w:hAnsi="Aptos"/>
                <w:color w:val="252525"/>
                <w:sz w:val="15"/>
              </w:rPr>
              <w:t>Trust and lead capture</w:t>
            </w:r>
          </w:p>
        </w:tc>
        <w:tc>
          <w:tcPr>
            <w:tcW w:type="dxa" w:w="5400"/>
            <w:tcMar>
              <w:top w:w="100" w:type="dxa"/>
              <w:start w:w="130" w:type="dxa"/>
              <w:bottom w:w="100" w:type="dxa"/>
              <w:end w:w="130" w:type="dxa"/>
            </w:tcMar>
            <w:shd w:fill="F6F3EF"/>
            <w:vAlign w:val="center"/>
          </w:tcPr>
          <w:p>
            <w:pPr>
              <w:spacing w:after="0"/>
            </w:pPr>
            <w:r>
              <w:rPr>
                <w:rFonts w:ascii="Aptos" w:hAnsi="Aptos"/>
                <w:color w:val="252525"/>
                <w:sz w:val="15"/>
              </w:rPr>
              <w:t>Case-style content, collaborator reshares, scorecard promotion, email nurture, low-budget retargeting.</w:t>
            </w:r>
          </w:p>
        </w:tc>
        <w:tc>
          <w:tcPr>
            <w:tcW w:type="dxa" w:w="1440"/>
            <w:tcMar>
              <w:top w:w="100" w:type="dxa"/>
              <w:start w:w="130" w:type="dxa"/>
              <w:bottom w:w="100" w:type="dxa"/>
              <w:end w:w="130" w:type="dxa"/>
            </w:tcMar>
            <w:shd w:fill="F6F3EF"/>
            <w:vAlign w:val="center"/>
          </w:tcPr>
          <w:p>
            <w:pPr>
              <w:spacing w:after="0"/>
            </w:pPr>
            <w:r>
              <w:rPr>
                <w:rFonts w:ascii="Aptos" w:hAnsi="Aptos"/>
                <w:color w:val="252525"/>
                <w:sz w:val="15"/>
              </w:rPr>
              <w:t>Opt-ins, cost per lead, replies</w:t>
            </w:r>
          </w:p>
        </w:tc>
      </w:tr>
      <w:tr>
        <w:trPr>
          <w:cantSplit/>
        </w:trPr>
        <w:tc>
          <w:tcPr>
            <w:tcW w:type="dxa" w:w="1440"/>
            <w:tcMar>
              <w:top w:w="100" w:type="dxa"/>
              <w:start w:w="130" w:type="dxa"/>
              <w:bottom w:w="100" w:type="dxa"/>
              <w:end w:w="130" w:type="dxa"/>
            </w:tcMar>
            <w:vAlign w:val="center"/>
          </w:tcPr>
          <w:p>
            <w:pPr>
              <w:spacing w:after="0"/>
            </w:pPr>
            <w:r>
              <w:rPr>
                <w:rFonts w:ascii="Aptos" w:hAnsi="Aptos"/>
                <w:color w:val="252525"/>
                <w:sz w:val="15"/>
              </w:rPr>
              <w:t>December</w:t>
            </w:r>
          </w:p>
        </w:tc>
        <w:tc>
          <w:tcPr>
            <w:tcW w:type="dxa" w:w="2088"/>
            <w:tcMar>
              <w:top w:w="100" w:type="dxa"/>
              <w:start w:w="130" w:type="dxa"/>
              <w:bottom w:w="100" w:type="dxa"/>
              <w:end w:w="130" w:type="dxa"/>
            </w:tcMar>
            <w:vAlign w:val="center"/>
          </w:tcPr>
          <w:p>
            <w:pPr>
              <w:spacing w:after="0"/>
            </w:pPr>
            <w:r>
              <w:rPr>
                <w:rFonts w:ascii="Aptos" w:hAnsi="Aptos"/>
                <w:color w:val="252525"/>
                <w:sz w:val="15"/>
              </w:rPr>
              <w:t>Consultation and pilot</w:t>
            </w:r>
          </w:p>
        </w:tc>
        <w:tc>
          <w:tcPr>
            <w:tcW w:type="dxa" w:w="5400"/>
            <w:tcMar>
              <w:top w:w="100" w:type="dxa"/>
              <w:start w:w="130" w:type="dxa"/>
              <w:bottom w:w="100" w:type="dxa"/>
              <w:end w:w="130" w:type="dxa"/>
            </w:tcMar>
            <w:vAlign w:val="center"/>
          </w:tcPr>
          <w:p>
            <w:pPr>
              <w:spacing w:after="0"/>
            </w:pPr>
            <w:r>
              <w:rPr>
                <w:rFonts w:ascii="Aptos" w:hAnsi="Aptos"/>
                <w:color w:val="252525"/>
                <w:sz w:val="15"/>
              </w:rPr>
              <w:t>FAQ/objection content, consultation CTA, limited pilot availability, personalized follow-up.</w:t>
            </w:r>
          </w:p>
        </w:tc>
        <w:tc>
          <w:tcPr>
            <w:tcW w:type="dxa" w:w="1440"/>
            <w:tcMar>
              <w:top w:w="100" w:type="dxa"/>
              <w:start w:w="130" w:type="dxa"/>
              <w:bottom w:w="100" w:type="dxa"/>
              <w:end w:w="130" w:type="dxa"/>
            </w:tcMar>
            <w:vAlign w:val="center"/>
          </w:tcPr>
          <w:p>
            <w:pPr>
              <w:spacing w:after="0"/>
            </w:pPr>
            <w:r>
              <w:rPr>
                <w:rFonts w:ascii="Aptos" w:hAnsi="Aptos"/>
                <w:color w:val="252525"/>
                <w:sz w:val="15"/>
              </w:rPr>
              <w:t>Bookings, qualified leads, paid pilots</w:t>
            </w:r>
          </w:p>
        </w:tc>
      </w:tr>
    </w:tbl>
    <w:p>
      <w:pPr>
        <w:spacing w:after="20"/>
      </w:pPr>
    </w:p>
    <w:p>
      <w:pPr>
        <w:keepNext/>
        <w:spacing w:after="60"/>
      </w:pPr>
      <w:r>
        <w:rPr>
          <w:rFonts w:ascii="Aptos" w:hAnsi="Aptos"/>
          <w:b/>
          <w:color w:val="18324A"/>
          <w:sz w:val="18"/>
        </w:rPr>
        <w:t>TACTICS AND MOCKUPS</w:t>
      </w:r>
    </w:p>
    <w:p>
      <w:pPr>
        <w:pStyle w:val="Heading1"/>
      </w:pPr>
      <w:r>
        <w:t>6. Creative and Execution</w:t>
      </w:r>
    </w:p>
    <w:p>
      <w:pPr>
        <w:pStyle w:val="Heading2"/>
      </w:pPr>
      <w:r>
        <w:t>Creative direction</w:t>
      </w:r>
    </w:p>
    <w:p>
      <w:pPr>
        <w:spacing w:after="140" w:line="271" w:lineRule="auto"/>
      </w:pPr>
      <w:r>
        <w:rPr>
          <w:rFonts w:ascii="Aptos" w:hAnsi="Aptos"/>
          <w:color w:val="252525"/>
        </w:rPr>
        <w:t>The creative system will feel human, useful and locally grounded. It uses real business environments, concise language, warm photography and Yuniq’s lemon-yellow brand colour, supported by white and dark navy for clarity and contrast. The tone avoids marketing jargon and hard-sell claims. English and Chinese versions will be adapted for platform context rather than translated word for word.</w:t>
      </w:r>
    </w:p>
    <w:tbl>
      <w:tblPr>
        <w:tblStyle w:val="TableGrid"/>
        <w:tblW w:type="auto" w:w="0"/>
        <w:jc w:val="center"/>
        <w:tblLayout w:type="fixed"/>
        <w:tblLook w:firstColumn="1" w:firstRow="1" w:lastColumn="0" w:lastRow="0" w:noHBand="0" w:noVBand="1" w:val="04A0"/>
      </w:tblPr>
      <w:tblGrid>
        <w:gridCol w:w="4939"/>
        <w:gridCol w:w="4939"/>
      </w:tblGrid>
      <w:tr>
        <w:trPr>
          <w:tblHeader w:val="true"/>
          <w:cantSplit/>
        </w:trPr>
        <w:tc>
          <w:tcPr>
            <w:tcW w:type="dxa" w:w="3024"/>
            <w:shd w:fill="F3DF45"/>
            <w:tcMar>
              <w:top w:w="100" w:type="dxa"/>
              <w:start w:w="130" w:type="dxa"/>
              <w:bottom w:w="100" w:type="dxa"/>
              <w:end w:w="130" w:type="dxa"/>
            </w:tcMar>
          </w:tcPr>
          <w:p>
            <w:pPr>
              <w:jc w:val="left"/>
            </w:pPr>
            <w:r>
              <w:rPr>
                <w:rFonts w:ascii="Aptos" w:hAnsi="Aptos"/>
                <w:b/>
                <w:color w:val="18324A"/>
                <w:sz w:val="17"/>
              </w:rPr>
              <w:t>Creative rule</w:t>
            </w:r>
          </w:p>
        </w:tc>
        <w:tc>
          <w:tcPr>
            <w:tcW w:type="dxa" w:w="7272"/>
            <w:shd w:fill="F3DF45"/>
            <w:tcMar>
              <w:top w:w="100" w:type="dxa"/>
              <w:start w:w="130" w:type="dxa"/>
              <w:bottom w:w="100" w:type="dxa"/>
              <w:end w:w="130" w:type="dxa"/>
            </w:tcMar>
          </w:tcPr>
          <w:p>
            <w:pPr>
              <w:jc w:val="left"/>
            </w:pPr>
            <w:r>
              <w:rPr>
                <w:rFonts w:ascii="Aptos" w:hAnsi="Aptos"/>
                <w:b/>
                <w:color w:val="18324A"/>
                <w:sz w:val="17"/>
              </w:rPr>
              <w:t>Application</w:t>
            </w:r>
          </w:p>
        </w:tc>
      </w:tr>
      <w:tr>
        <w:trPr>
          <w:cantSplit/>
        </w:trPr>
        <w:tc>
          <w:tcPr>
            <w:tcW w:type="dxa" w:w="3024"/>
            <w:tcMar>
              <w:top w:w="100" w:type="dxa"/>
              <w:start w:w="130" w:type="dxa"/>
              <w:bottom w:w="100" w:type="dxa"/>
              <w:end w:w="130" w:type="dxa"/>
            </w:tcMar>
            <w:vAlign w:val="center"/>
          </w:tcPr>
          <w:p>
            <w:pPr>
              <w:spacing w:after="0"/>
            </w:pPr>
            <w:r>
              <w:rPr>
                <w:rFonts w:ascii="Aptos" w:hAnsi="Aptos"/>
                <w:color w:val="252525"/>
                <w:sz w:val="17"/>
              </w:rPr>
              <w:t>Hook quickly</w:t>
            </w:r>
          </w:p>
        </w:tc>
        <w:tc>
          <w:tcPr>
            <w:tcW w:type="dxa" w:w="7272"/>
            <w:tcMar>
              <w:top w:w="100" w:type="dxa"/>
              <w:start w:w="130" w:type="dxa"/>
              <w:bottom w:w="100" w:type="dxa"/>
              <w:end w:w="130" w:type="dxa"/>
            </w:tcMar>
            <w:vAlign w:val="center"/>
          </w:tcPr>
          <w:p>
            <w:pPr>
              <w:spacing w:after="0"/>
            </w:pPr>
            <w:r>
              <w:rPr>
                <w:rFonts w:ascii="Aptos" w:hAnsi="Aptos"/>
                <w:color w:val="252525"/>
                <w:sz w:val="17"/>
              </w:rPr>
              <w:t>Show the business problem in the first 1-2 seconds or first carousel card.</w:t>
            </w:r>
          </w:p>
        </w:tc>
      </w:tr>
      <w:tr>
        <w:trPr>
          <w:cantSplit/>
        </w:trPr>
        <w:tc>
          <w:tcPr>
            <w:tcW w:type="dxa" w:w="3024"/>
            <w:tcMar>
              <w:top w:w="100" w:type="dxa"/>
              <w:start w:w="130" w:type="dxa"/>
              <w:bottom w:w="100" w:type="dxa"/>
              <w:end w:w="130" w:type="dxa"/>
            </w:tcMar>
            <w:shd w:fill="F6F3EF"/>
            <w:vAlign w:val="center"/>
          </w:tcPr>
          <w:p>
            <w:pPr>
              <w:spacing w:after="0"/>
            </w:pPr>
            <w:r>
              <w:rPr>
                <w:rFonts w:ascii="Aptos" w:hAnsi="Aptos"/>
                <w:color w:val="252525"/>
                <w:sz w:val="17"/>
              </w:rPr>
              <w:t>One post, one job</w:t>
            </w:r>
          </w:p>
        </w:tc>
        <w:tc>
          <w:tcPr>
            <w:tcW w:type="dxa" w:w="7272"/>
            <w:tcMar>
              <w:top w:w="100" w:type="dxa"/>
              <w:start w:w="130" w:type="dxa"/>
              <w:bottom w:w="100" w:type="dxa"/>
              <w:end w:w="130" w:type="dxa"/>
            </w:tcMar>
            <w:shd w:fill="F6F3EF"/>
            <w:vAlign w:val="center"/>
          </w:tcPr>
          <w:p>
            <w:pPr>
              <w:spacing w:after="0"/>
            </w:pPr>
            <w:r>
              <w:rPr>
                <w:rFonts w:ascii="Aptos" w:hAnsi="Aptos"/>
                <w:color w:val="252525"/>
                <w:sz w:val="17"/>
              </w:rPr>
              <w:t>Each asset has one main idea and one primary CTA.</w:t>
            </w:r>
          </w:p>
        </w:tc>
      </w:tr>
      <w:tr>
        <w:trPr>
          <w:cantSplit/>
        </w:trPr>
        <w:tc>
          <w:tcPr>
            <w:tcW w:type="dxa" w:w="3024"/>
            <w:tcMar>
              <w:top w:w="100" w:type="dxa"/>
              <w:start w:w="130" w:type="dxa"/>
              <w:bottom w:w="100" w:type="dxa"/>
              <w:end w:w="130" w:type="dxa"/>
            </w:tcMar>
            <w:vAlign w:val="center"/>
          </w:tcPr>
          <w:p>
            <w:pPr>
              <w:spacing w:after="0"/>
            </w:pPr>
            <w:r>
              <w:rPr>
                <w:rFonts w:ascii="Aptos" w:hAnsi="Aptos"/>
                <w:color w:val="252525"/>
                <w:sz w:val="17"/>
              </w:rPr>
              <w:t>Show people and process</w:t>
            </w:r>
          </w:p>
        </w:tc>
        <w:tc>
          <w:tcPr>
            <w:tcW w:type="dxa" w:w="7272"/>
            <w:tcMar>
              <w:top w:w="100" w:type="dxa"/>
              <w:start w:w="130" w:type="dxa"/>
              <w:bottom w:w="100" w:type="dxa"/>
              <w:end w:w="130" w:type="dxa"/>
            </w:tcMar>
            <w:vAlign w:val="center"/>
          </w:tcPr>
          <w:p>
            <w:pPr>
              <w:spacing w:after="0"/>
            </w:pPr>
            <w:r>
              <w:rPr>
                <w:rFonts w:ascii="Aptos" w:hAnsi="Aptos"/>
                <w:color w:val="252525"/>
                <w:sz w:val="17"/>
              </w:rPr>
              <w:t>Use owners, staff, customers, food, products and behind-the-scenes work.</w:t>
            </w:r>
          </w:p>
        </w:tc>
      </w:tr>
      <w:tr>
        <w:trPr>
          <w:cantSplit/>
        </w:trPr>
        <w:tc>
          <w:tcPr>
            <w:tcW w:type="dxa" w:w="3024"/>
            <w:tcMar>
              <w:top w:w="100" w:type="dxa"/>
              <w:start w:w="130" w:type="dxa"/>
              <w:bottom w:w="100" w:type="dxa"/>
              <w:end w:w="130" w:type="dxa"/>
            </w:tcMar>
            <w:shd w:fill="F6F3EF"/>
            <w:vAlign w:val="center"/>
          </w:tcPr>
          <w:p>
            <w:pPr>
              <w:spacing w:after="0"/>
            </w:pPr>
            <w:r>
              <w:rPr>
                <w:rFonts w:ascii="Aptos" w:hAnsi="Aptos"/>
                <w:color w:val="252525"/>
                <w:sz w:val="17"/>
              </w:rPr>
              <w:t>Design for silent viewing</w:t>
            </w:r>
          </w:p>
        </w:tc>
        <w:tc>
          <w:tcPr>
            <w:tcW w:type="dxa" w:w="7272"/>
            <w:tcMar>
              <w:top w:w="100" w:type="dxa"/>
              <w:start w:w="130" w:type="dxa"/>
              <w:bottom w:w="100" w:type="dxa"/>
              <w:end w:w="130" w:type="dxa"/>
            </w:tcMar>
            <w:shd w:fill="F6F3EF"/>
            <w:vAlign w:val="center"/>
          </w:tcPr>
          <w:p>
            <w:pPr>
              <w:spacing w:after="0"/>
            </w:pPr>
            <w:r>
              <w:rPr>
                <w:rFonts w:ascii="Aptos" w:hAnsi="Aptos"/>
                <w:color w:val="252525"/>
                <w:sz w:val="17"/>
              </w:rPr>
              <w:t>On-screen captions, high contrast and plain-language headlines.</w:t>
            </w:r>
          </w:p>
        </w:tc>
      </w:tr>
      <w:tr>
        <w:trPr>
          <w:cantSplit/>
        </w:trPr>
        <w:tc>
          <w:tcPr>
            <w:tcW w:type="dxa" w:w="3024"/>
            <w:tcMar>
              <w:top w:w="100" w:type="dxa"/>
              <w:start w:w="130" w:type="dxa"/>
              <w:bottom w:w="100" w:type="dxa"/>
              <w:end w:w="130" w:type="dxa"/>
            </w:tcMar>
            <w:vAlign w:val="center"/>
          </w:tcPr>
          <w:p>
            <w:pPr>
              <w:spacing w:after="0"/>
            </w:pPr>
            <w:r>
              <w:rPr>
                <w:rFonts w:ascii="Aptos" w:hAnsi="Aptos"/>
                <w:color w:val="252525"/>
                <w:sz w:val="17"/>
              </w:rPr>
              <w:t>Create once, adapt carefully</w:t>
            </w:r>
          </w:p>
        </w:tc>
        <w:tc>
          <w:tcPr>
            <w:tcW w:type="dxa" w:w="7272"/>
            <w:tcMar>
              <w:top w:w="100" w:type="dxa"/>
              <w:start w:w="130" w:type="dxa"/>
              <w:bottom w:w="100" w:type="dxa"/>
              <w:end w:w="130" w:type="dxa"/>
            </w:tcMar>
            <w:vAlign w:val="center"/>
          </w:tcPr>
          <w:p>
            <w:pPr>
              <w:spacing w:after="0"/>
            </w:pPr>
            <w:r>
              <w:rPr>
                <w:rFonts w:ascii="Aptos" w:hAnsi="Aptos"/>
                <w:color w:val="252525"/>
                <w:sz w:val="17"/>
              </w:rPr>
              <w:t>Use one insight across Reel, carousel, email and LinkedIn, with platform-native edits.</w:t>
            </w:r>
          </w:p>
        </w:tc>
      </w:tr>
    </w:tbl>
    <w:p>
      <w:pPr>
        <w:spacing w:after="20"/>
      </w:pPr>
    </w:p>
    <w:p>
      <w:pPr>
        <w:pStyle w:val="Heading2"/>
      </w:pPr>
      <w:r>
        <w:t>Mockup A: short-form awareness video</w:t>
      </w:r>
    </w:p>
    <w:p>
      <w:pPr>
        <w:jc w:val="center"/>
      </w:pPr>
      <w:r>
        <w:drawing>
          <wp:inline xmlns:a="http://schemas.openxmlformats.org/drawingml/2006/main" xmlns:pic="http://schemas.openxmlformats.org/drawingml/2006/picture">
            <wp:extent cx="3246120" cy="4382262"/>
            <wp:docPr id="2" name="Picture 2"/>
            <wp:cNvGraphicFramePr>
              <a:graphicFrameLocks noChangeAspect="1"/>
            </wp:cNvGraphicFramePr>
            <a:graphic>
              <a:graphicData uri="http://schemas.openxmlformats.org/drawingml/2006/picture">
                <pic:pic>
                  <pic:nvPicPr>
                    <pic:cNvPr id="0" name="mockup-reel.png"/>
                    <pic:cNvPicPr/>
                  </pic:nvPicPr>
                  <pic:blipFill>
                    <a:blip r:embed="rId15"/>
                    <a:stretch>
                      <a:fillRect/>
                    </a:stretch>
                  </pic:blipFill>
                  <pic:spPr>
                    <a:xfrm>
                      <a:off x="0" y="0"/>
                      <a:ext cx="3246120" cy="4382262"/>
                    </a:xfrm>
                    <a:prstGeom prst="rect"/>
                  </pic:spPr>
                </pic:pic>
              </a:graphicData>
            </a:graphic>
          </wp:inline>
        </w:drawing>
      </w:r>
    </w:p>
    <w:p>
      <w:pPr>
        <w:spacing w:after="140" w:line="271" w:lineRule="auto"/>
      </w:pPr>
      <w:r>
        <w:rPr>
          <w:rFonts w:ascii="Aptos" w:hAnsi="Aptos"/>
          <w:color w:val="252525"/>
        </w:rPr>
        <w:t>The opening names a recognizable visibility problem, gives three practical fixes, and directs interested owners to the free scorecard. The same concept can be adapted for Instagram Reels, TikTok and Rednote with platform-specific captions.</w:t>
      </w:r>
    </w:p>
    <w:p>
      <w:r>
        <w:br w:type="page"/>
      </w:r>
    </w:p>
    <w:p>
      <w:pPr>
        <w:keepNext/>
        <w:spacing w:after="60"/>
      </w:pPr>
      <w:r>
        <w:rPr>
          <w:rFonts w:ascii="Aptos" w:hAnsi="Aptos"/>
          <w:b/>
          <w:color w:val="18324A"/>
          <w:sz w:val="18"/>
        </w:rPr>
        <w:t>LEAD CAPTURE AND NURTURE</w:t>
      </w:r>
    </w:p>
    <w:p>
      <w:pPr>
        <w:pStyle w:val="Heading1"/>
      </w:pPr>
      <w:r>
        <w:t>Creative Mockups</w:t>
      </w:r>
    </w:p>
    <w:tbl>
      <w:tblPr>
        <w:tblW w:type="auto" w:w="0"/>
        <w:jc w:val="center"/>
        <w:tblLayout w:type="fixed"/>
        <w:tblLook w:firstColumn="1" w:firstRow="1" w:lastColumn="0" w:lastRow="0" w:noHBand="0" w:noVBand="1" w:val="04A0"/>
      </w:tblPr>
      <w:tblGrid>
        <w:gridCol w:w="4939"/>
        <w:gridCol w:w="4939"/>
      </w:tblGrid>
      <w:tr>
        <w:trPr>
          <w:cantSplit/>
        </w:trPr>
        <w:tc>
          <w:tcPr>
            <w:tcW w:type="dxa" w:w="4939"/>
            <w:tcMar>
              <w:top w:w="80" w:type="dxa"/>
              <w:start w:w="80" w:type="dxa"/>
              <w:bottom w:w="80" w:type="dxa"/>
              <w:end w:w="80" w:type="dxa"/>
            </w:tcMar>
            <w:vAlign w:val="top"/>
          </w:tcPr>
          <w:p>
            <w:r>
              <w:rPr>
                <w:rFonts w:ascii="Aptos" w:hAnsi="Aptos"/>
                <w:b/>
                <w:color w:val="18324A"/>
                <w:sz w:val="18"/>
              </w:rPr>
              <w:t>MOCKUP B  /  LANDING PAGE</w:t>
            </w:r>
          </w:p>
          <w:p>
            <w:pPr>
              <w:jc w:val="center"/>
            </w:pPr>
            <w:r>
              <w:drawing>
                <wp:inline xmlns:a="http://schemas.openxmlformats.org/drawingml/2006/main" xmlns:pic="http://schemas.openxmlformats.org/drawingml/2006/picture">
                  <wp:extent cx="2971800" cy="2228850"/>
                  <wp:docPr id="3" name="Picture 3"/>
                  <wp:cNvGraphicFramePr>
                    <a:graphicFrameLocks noChangeAspect="1"/>
                  </wp:cNvGraphicFramePr>
                  <a:graphic>
                    <a:graphicData uri="http://schemas.openxmlformats.org/drawingml/2006/picture">
                      <pic:pic>
                        <pic:nvPicPr>
                          <pic:cNvPr id="0" name="mockup-lead-magnet.png"/>
                          <pic:cNvPicPr/>
                        </pic:nvPicPr>
                        <pic:blipFill>
                          <a:blip r:embed="rId16"/>
                          <a:stretch>
                            <a:fillRect/>
                          </a:stretch>
                        </pic:blipFill>
                        <pic:spPr>
                          <a:xfrm>
                            <a:off x="0" y="0"/>
                            <a:ext cx="2971800" cy="2228850"/>
                          </a:xfrm>
                          <a:prstGeom prst="rect"/>
                        </pic:spPr>
                      </pic:pic>
                    </a:graphicData>
                  </a:graphic>
                </wp:inline>
              </w:drawing>
            </w:r>
          </w:p>
          <w:p>
            <w:pPr>
              <w:spacing w:after="0"/>
            </w:pPr>
            <w:r>
              <w:t>The lead magnet gives immediate value and collects permission to continue the relationship by email.</w:t>
            </w:r>
          </w:p>
        </w:tc>
        <w:tc>
          <w:tcPr>
            <w:tcW w:type="dxa" w:w="4939"/>
            <w:tcMar>
              <w:top w:w="80" w:type="dxa"/>
              <w:start w:w="80" w:type="dxa"/>
              <w:bottom w:w="80" w:type="dxa"/>
              <w:end w:w="80" w:type="dxa"/>
            </w:tcMar>
            <w:vAlign w:val="top"/>
          </w:tcPr>
          <w:p>
            <w:r>
              <w:rPr>
                <w:rFonts w:ascii="Aptos" w:hAnsi="Aptos"/>
                <w:b/>
                <w:color w:val="18324A"/>
                <w:sz w:val="18"/>
              </w:rPr>
              <w:t>MOCKUP C  /  EMAIL</w:t>
            </w:r>
          </w:p>
          <w:p>
            <w:pPr>
              <w:jc w:val="center"/>
            </w:pPr>
            <w:r>
              <w:drawing>
                <wp:inline xmlns:a="http://schemas.openxmlformats.org/drawingml/2006/main" xmlns:pic="http://schemas.openxmlformats.org/drawingml/2006/picture">
                  <wp:extent cx="2697480" cy="3236976"/>
                  <wp:docPr id="4" name="Picture 4"/>
                  <wp:cNvGraphicFramePr>
                    <a:graphicFrameLocks noChangeAspect="1"/>
                  </wp:cNvGraphicFramePr>
                  <a:graphic>
                    <a:graphicData uri="http://schemas.openxmlformats.org/drawingml/2006/picture">
                      <pic:pic>
                        <pic:nvPicPr>
                          <pic:cNvPr id="0" name="mockup-email.png"/>
                          <pic:cNvPicPr/>
                        </pic:nvPicPr>
                        <pic:blipFill>
                          <a:blip r:embed="rId17"/>
                          <a:stretch>
                            <a:fillRect/>
                          </a:stretch>
                        </pic:blipFill>
                        <pic:spPr>
                          <a:xfrm>
                            <a:off x="0" y="0"/>
                            <a:ext cx="2697480" cy="3236976"/>
                          </a:xfrm>
                          <a:prstGeom prst="rect"/>
                        </pic:spPr>
                      </pic:pic>
                    </a:graphicData>
                  </a:graphic>
                </wp:inline>
              </w:drawing>
            </w:r>
          </w:p>
          <w:p>
            <w:pPr>
              <w:spacing w:after="0"/>
            </w:pPr>
            <w:r>
              <w:t>The nurture email offers one useful improvement, then invites a low-pressure Visibility Check.</w:t>
            </w:r>
          </w:p>
        </w:tc>
      </w:tr>
    </w:tbl>
    <w:p>
      <w:pPr>
        <w:pStyle w:val="Heading2"/>
      </w:pPr>
      <w:r>
        <w:t>Four-email nurture sequence</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1152"/>
            <w:shd w:fill="F3DF45"/>
            <w:tcMar>
              <w:top w:w="100" w:type="dxa"/>
              <w:start w:w="130" w:type="dxa"/>
              <w:bottom w:w="100" w:type="dxa"/>
              <w:end w:w="130" w:type="dxa"/>
            </w:tcMar>
          </w:tcPr>
          <w:p>
            <w:pPr>
              <w:jc w:val="left"/>
            </w:pPr>
            <w:r>
              <w:rPr>
                <w:rFonts w:ascii="Aptos" w:hAnsi="Aptos"/>
                <w:b/>
                <w:color w:val="18324A"/>
                <w:sz w:val="16"/>
              </w:rPr>
              <w:t>Email</w:t>
            </w:r>
          </w:p>
        </w:tc>
        <w:tc>
          <w:tcPr>
            <w:tcW w:type="dxa" w:w="6696"/>
            <w:shd w:fill="F3DF45"/>
            <w:tcMar>
              <w:top w:w="100" w:type="dxa"/>
              <w:start w:w="130" w:type="dxa"/>
              <w:bottom w:w="100" w:type="dxa"/>
              <w:end w:w="130" w:type="dxa"/>
            </w:tcMar>
          </w:tcPr>
          <w:p>
            <w:pPr>
              <w:jc w:val="left"/>
            </w:pPr>
            <w:r>
              <w:rPr>
                <w:rFonts w:ascii="Aptos" w:hAnsi="Aptos"/>
                <w:b/>
                <w:color w:val="18324A"/>
                <w:sz w:val="16"/>
              </w:rPr>
              <w:t>Subject / purpose</w:t>
            </w:r>
          </w:p>
        </w:tc>
        <w:tc>
          <w:tcPr>
            <w:tcW w:type="dxa" w:w="2448"/>
            <w:shd w:fill="F3DF45"/>
            <w:tcMar>
              <w:top w:w="100" w:type="dxa"/>
              <w:start w:w="130" w:type="dxa"/>
              <w:bottom w:w="100" w:type="dxa"/>
              <w:end w:w="130" w:type="dxa"/>
            </w:tcMar>
          </w:tcPr>
          <w:p>
            <w:pPr>
              <w:jc w:val="left"/>
            </w:pPr>
            <w:r>
              <w:rPr>
                <w:rFonts w:ascii="Aptos" w:hAnsi="Aptos"/>
                <w:b/>
                <w:color w:val="18324A"/>
                <w:sz w:val="16"/>
              </w:rPr>
              <w:t>CTA</w:t>
            </w:r>
          </w:p>
        </w:tc>
      </w:tr>
      <w:tr>
        <w:trPr>
          <w:cantSplit/>
        </w:trPr>
        <w:tc>
          <w:tcPr>
            <w:tcW w:type="dxa" w:w="1152"/>
            <w:tcMar>
              <w:top w:w="100" w:type="dxa"/>
              <w:start w:w="130" w:type="dxa"/>
              <w:bottom w:w="100" w:type="dxa"/>
              <w:end w:w="130" w:type="dxa"/>
            </w:tcMar>
            <w:vAlign w:val="center"/>
          </w:tcPr>
          <w:p>
            <w:pPr>
              <w:spacing w:after="0"/>
            </w:pPr>
            <w:r>
              <w:rPr>
                <w:rFonts w:ascii="Aptos" w:hAnsi="Aptos"/>
                <w:color w:val="252525"/>
                <w:sz w:val="16"/>
              </w:rPr>
              <w:t>1. Deliver</w:t>
            </w:r>
          </w:p>
        </w:tc>
        <w:tc>
          <w:tcPr>
            <w:tcW w:type="dxa" w:w="6696"/>
            <w:tcMar>
              <w:top w:w="100" w:type="dxa"/>
              <w:start w:w="130" w:type="dxa"/>
              <w:bottom w:w="100" w:type="dxa"/>
              <w:end w:w="130" w:type="dxa"/>
            </w:tcMar>
            <w:vAlign w:val="center"/>
          </w:tcPr>
          <w:p>
            <w:pPr>
              <w:spacing w:after="0"/>
            </w:pPr>
            <w:r>
              <w:rPr>
                <w:rFonts w:ascii="Aptos" w:hAnsi="Aptos"/>
                <w:color w:val="252525"/>
                <w:sz w:val="16"/>
              </w:rPr>
              <w:t>Here is your Calgary Visibility Scorecard — deliver the promised resource.</w:t>
            </w:r>
          </w:p>
        </w:tc>
        <w:tc>
          <w:tcPr>
            <w:tcW w:type="dxa" w:w="2448"/>
            <w:tcMar>
              <w:top w:w="100" w:type="dxa"/>
              <w:start w:w="130" w:type="dxa"/>
              <w:bottom w:w="100" w:type="dxa"/>
              <w:end w:w="130" w:type="dxa"/>
            </w:tcMar>
            <w:vAlign w:val="center"/>
          </w:tcPr>
          <w:p>
            <w:pPr>
              <w:spacing w:after="0"/>
            </w:pPr>
            <w:r>
              <w:rPr>
                <w:rFonts w:ascii="Aptos" w:hAnsi="Aptos"/>
                <w:color w:val="252525"/>
                <w:sz w:val="16"/>
              </w:rPr>
              <w:t>Use the scorecard</w:t>
            </w:r>
          </w:p>
        </w:tc>
      </w:tr>
      <w:tr>
        <w:trPr>
          <w:cantSplit/>
        </w:trPr>
        <w:tc>
          <w:tcPr>
            <w:tcW w:type="dxa" w:w="1152"/>
            <w:tcMar>
              <w:top w:w="100" w:type="dxa"/>
              <w:start w:w="130" w:type="dxa"/>
              <w:bottom w:w="100" w:type="dxa"/>
              <w:end w:w="130" w:type="dxa"/>
            </w:tcMar>
            <w:shd w:fill="F6F3EF"/>
            <w:vAlign w:val="center"/>
          </w:tcPr>
          <w:p>
            <w:pPr>
              <w:spacing w:after="0"/>
            </w:pPr>
            <w:r>
              <w:rPr>
                <w:rFonts w:ascii="Aptos" w:hAnsi="Aptos"/>
                <w:color w:val="252525"/>
                <w:sz w:val="16"/>
              </w:rPr>
              <w:t>2. Quick win</w:t>
            </w:r>
          </w:p>
        </w:tc>
        <w:tc>
          <w:tcPr>
            <w:tcW w:type="dxa" w:w="6696"/>
            <w:tcMar>
              <w:top w:w="100" w:type="dxa"/>
              <w:start w:w="130" w:type="dxa"/>
              <w:bottom w:w="100" w:type="dxa"/>
              <w:end w:w="130" w:type="dxa"/>
            </w:tcMar>
            <w:shd w:fill="F6F3EF"/>
            <w:vAlign w:val="center"/>
          </w:tcPr>
          <w:p>
            <w:pPr>
              <w:spacing w:after="0"/>
            </w:pPr>
            <w:r>
              <w:rPr>
                <w:rFonts w:ascii="Aptos" w:hAnsi="Aptos"/>
                <w:color w:val="252525"/>
                <w:sz w:val="16"/>
              </w:rPr>
              <w:t>The three-second clarity check — make the next post easier to understand.</w:t>
            </w:r>
          </w:p>
        </w:tc>
        <w:tc>
          <w:tcPr>
            <w:tcW w:type="dxa" w:w="2448"/>
            <w:tcMar>
              <w:top w:w="100" w:type="dxa"/>
              <w:start w:w="130" w:type="dxa"/>
              <w:bottom w:w="100" w:type="dxa"/>
              <w:end w:w="130" w:type="dxa"/>
            </w:tcMar>
            <w:shd w:fill="F6F3EF"/>
            <w:vAlign w:val="center"/>
          </w:tcPr>
          <w:p>
            <w:pPr>
              <w:spacing w:after="0"/>
            </w:pPr>
            <w:r>
              <w:rPr>
                <w:rFonts w:ascii="Aptos" w:hAnsi="Aptos"/>
                <w:color w:val="252525"/>
                <w:sz w:val="16"/>
              </w:rPr>
              <w:t>Reply with a content question</w:t>
            </w:r>
          </w:p>
        </w:tc>
      </w:tr>
      <w:tr>
        <w:trPr>
          <w:cantSplit/>
        </w:trPr>
        <w:tc>
          <w:tcPr>
            <w:tcW w:type="dxa" w:w="1152"/>
            <w:tcMar>
              <w:top w:w="100" w:type="dxa"/>
              <w:start w:w="130" w:type="dxa"/>
              <w:bottom w:w="100" w:type="dxa"/>
              <w:end w:w="130" w:type="dxa"/>
            </w:tcMar>
            <w:vAlign w:val="center"/>
          </w:tcPr>
          <w:p>
            <w:pPr>
              <w:spacing w:after="0"/>
            </w:pPr>
            <w:r>
              <w:rPr>
                <w:rFonts w:ascii="Aptos" w:hAnsi="Aptos"/>
                <w:color w:val="252525"/>
                <w:sz w:val="16"/>
              </w:rPr>
              <w:t>3. Proof</w:t>
            </w:r>
          </w:p>
        </w:tc>
        <w:tc>
          <w:tcPr>
            <w:tcW w:type="dxa" w:w="6696"/>
            <w:tcMar>
              <w:top w:w="100" w:type="dxa"/>
              <w:start w:w="130" w:type="dxa"/>
              <w:bottom w:w="100" w:type="dxa"/>
              <w:end w:w="130" w:type="dxa"/>
            </w:tcMar>
            <w:vAlign w:val="center"/>
          </w:tcPr>
          <w:p>
            <w:pPr>
              <w:spacing w:after="0"/>
            </w:pPr>
            <w:r>
              <w:rPr>
                <w:rFonts w:ascii="Aptos" w:hAnsi="Aptos"/>
                <w:color w:val="252525"/>
                <w:sz w:val="16"/>
              </w:rPr>
              <w:t>One message, two communities — show how cultural adaptation changes execution.</w:t>
            </w:r>
          </w:p>
        </w:tc>
        <w:tc>
          <w:tcPr>
            <w:tcW w:type="dxa" w:w="2448"/>
            <w:tcMar>
              <w:top w:w="100" w:type="dxa"/>
              <w:start w:w="130" w:type="dxa"/>
              <w:bottom w:w="100" w:type="dxa"/>
              <w:end w:w="130" w:type="dxa"/>
            </w:tcMar>
            <w:vAlign w:val="center"/>
          </w:tcPr>
          <w:p>
            <w:pPr>
              <w:spacing w:after="0"/>
            </w:pPr>
            <w:r>
              <w:rPr>
                <w:rFonts w:ascii="Aptos" w:hAnsi="Aptos"/>
                <w:color w:val="252525"/>
                <w:sz w:val="16"/>
              </w:rPr>
              <w:t>View a campaign example</w:t>
            </w:r>
          </w:p>
        </w:tc>
      </w:tr>
      <w:tr>
        <w:trPr>
          <w:cantSplit/>
        </w:trPr>
        <w:tc>
          <w:tcPr>
            <w:tcW w:type="dxa" w:w="1152"/>
            <w:tcMar>
              <w:top w:w="100" w:type="dxa"/>
              <w:start w:w="130" w:type="dxa"/>
              <w:bottom w:w="100" w:type="dxa"/>
              <w:end w:w="130" w:type="dxa"/>
            </w:tcMar>
            <w:shd w:fill="F6F3EF"/>
            <w:vAlign w:val="center"/>
          </w:tcPr>
          <w:p>
            <w:pPr>
              <w:spacing w:after="0"/>
            </w:pPr>
            <w:r>
              <w:rPr>
                <w:rFonts w:ascii="Aptos" w:hAnsi="Aptos"/>
                <w:color w:val="252525"/>
                <w:sz w:val="16"/>
              </w:rPr>
              <w:t>4. Invite</w:t>
            </w:r>
          </w:p>
        </w:tc>
        <w:tc>
          <w:tcPr>
            <w:tcW w:type="dxa" w:w="6696"/>
            <w:tcMar>
              <w:top w:w="100" w:type="dxa"/>
              <w:start w:w="130" w:type="dxa"/>
              <w:bottom w:w="100" w:type="dxa"/>
              <w:end w:w="130" w:type="dxa"/>
            </w:tcMar>
            <w:shd w:fill="F6F3EF"/>
            <w:vAlign w:val="center"/>
          </w:tcPr>
          <w:p>
            <w:pPr>
              <w:spacing w:after="0"/>
            </w:pPr>
            <w:r>
              <w:rPr>
                <w:rFonts w:ascii="Aptos" w:hAnsi="Aptos"/>
                <w:color w:val="252525"/>
                <w:sz w:val="16"/>
              </w:rPr>
              <w:t>Want a second pair of eyes? — address time, budget and authenticity objections.</w:t>
            </w:r>
          </w:p>
        </w:tc>
        <w:tc>
          <w:tcPr>
            <w:tcW w:type="dxa" w:w="2448"/>
            <w:tcMar>
              <w:top w:w="100" w:type="dxa"/>
              <w:start w:w="130" w:type="dxa"/>
              <w:bottom w:w="100" w:type="dxa"/>
              <w:end w:w="130" w:type="dxa"/>
            </w:tcMar>
            <w:shd w:fill="F6F3EF"/>
            <w:vAlign w:val="center"/>
          </w:tcPr>
          <w:p>
            <w:pPr>
              <w:spacing w:after="0"/>
            </w:pPr>
            <w:r>
              <w:rPr>
                <w:rFonts w:ascii="Aptos" w:hAnsi="Aptos"/>
                <w:color w:val="252525"/>
                <w:sz w:val="16"/>
              </w:rPr>
              <w:t>Book the Visibility Check</w:t>
            </w:r>
          </w:p>
        </w:tc>
      </w:tr>
    </w:tbl>
    <w:p>
      <w:pPr>
        <w:spacing w:after="20"/>
      </w:pPr>
    </w:p>
    <w:p>
      <w:pPr>
        <w:keepNext/>
        <w:spacing w:after="60"/>
      </w:pPr>
      <w:r>
        <w:rPr>
          <w:rFonts w:ascii="Aptos" w:hAnsi="Aptos"/>
          <w:b/>
          <w:color w:val="18324A"/>
          <w:sz w:val="18"/>
        </w:rPr>
        <w:t>CAMPAIGN OPERATIONS</w:t>
      </w:r>
    </w:p>
    <w:p>
      <w:pPr>
        <w:pStyle w:val="Heading1"/>
      </w:pPr>
      <w:r>
        <w:t>Execution Plan, Budget and Measurement</w:t>
      </w:r>
    </w:p>
    <w:p>
      <w:pPr>
        <w:pStyle w:val="Heading2"/>
      </w:pPr>
      <w:r>
        <w:t>Publishing cadence</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3024"/>
            <w:shd w:fill="F3DF45"/>
            <w:tcMar>
              <w:top w:w="100" w:type="dxa"/>
              <w:start w:w="130" w:type="dxa"/>
              <w:bottom w:w="100" w:type="dxa"/>
              <w:end w:w="130" w:type="dxa"/>
            </w:tcMar>
          </w:tcPr>
          <w:p>
            <w:pPr>
              <w:jc w:val="left"/>
            </w:pPr>
            <w:r>
              <w:rPr>
                <w:rFonts w:ascii="Aptos" w:hAnsi="Aptos"/>
                <w:b/>
                <w:color w:val="18324A"/>
                <w:sz w:val="17"/>
              </w:rPr>
              <w:t>Tactic</w:t>
            </w:r>
          </w:p>
        </w:tc>
        <w:tc>
          <w:tcPr>
            <w:tcW w:type="dxa" w:w="2232"/>
            <w:shd w:fill="F3DF45"/>
            <w:tcMar>
              <w:top w:w="100" w:type="dxa"/>
              <w:start w:w="130" w:type="dxa"/>
              <w:bottom w:w="100" w:type="dxa"/>
              <w:end w:w="130" w:type="dxa"/>
            </w:tcMar>
          </w:tcPr>
          <w:p>
            <w:pPr>
              <w:jc w:val="left"/>
            </w:pPr>
            <w:r>
              <w:rPr>
                <w:rFonts w:ascii="Aptos" w:hAnsi="Aptos"/>
                <w:b/>
                <w:color w:val="18324A"/>
                <w:sz w:val="17"/>
              </w:rPr>
              <w:t>Cadence</w:t>
            </w:r>
          </w:p>
        </w:tc>
        <w:tc>
          <w:tcPr>
            <w:tcW w:type="dxa" w:w="5040"/>
            <w:shd w:fill="F3DF45"/>
            <w:tcMar>
              <w:top w:w="100" w:type="dxa"/>
              <w:start w:w="130" w:type="dxa"/>
              <w:bottom w:w="100" w:type="dxa"/>
              <w:end w:w="130" w:type="dxa"/>
            </w:tcMar>
          </w:tcPr>
          <w:p>
            <w:pPr>
              <w:jc w:val="left"/>
            </w:pPr>
            <w:r>
              <w:rPr>
                <w:rFonts w:ascii="Aptos" w:hAnsi="Aptos"/>
                <w:b/>
                <w:color w:val="18324A"/>
                <w:sz w:val="17"/>
              </w:rPr>
              <w:t>Three-month output</w:t>
            </w:r>
          </w:p>
        </w:tc>
      </w:tr>
      <w:tr>
        <w:trPr>
          <w:cantSplit/>
        </w:trPr>
        <w:tc>
          <w:tcPr>
            <w:tcW w:type="dxa" w:w="3024"/>
            <w:tcMar>
              <w:top w:w="100" w:type="dxa"/>
              <w:start w:w="130" w:type="dxa"/>
              <w:bottom w:w="100" w:type="dxa"/>
              <w:end w:w="130" w:type="dxa"/>
            </w:tcMar>
            <w:vAlign w:val="center"/>
          </w:tcPr>
          <w:p>
            <w:pPr>
              <w:spacing w:after="0"/>
            </w:pPr>
            <w:r>
              <w:rPr>
                <w:rFonts w:ascii="Aptos" w:hAnsi="Aptos"/>
                <w:color w:val="252525"/>
                <w:sz w:val="17"/>
              </w:rPr>
              <w:t>Short-form video</w:t>
            </w:r>
          </w:p>
        </w:tc>
        <w:tc>
          <w:tcPr>
            <w:tcW w:type="dxa" w:w="2232"/>
            <w:tcMar>
              <w:top w:w="100" w:type="dxa"/>
              <w:start w:w="130" w:type="dxa"/>
              <w:bottom w:w="100" w:type="dxa"/>
              <w:end w:w="130" w:type="dxa"/>
            </w:tcMar>
            <w:vAlign w:val="center"/>
          </w:tcPr>
          <w:p>
            <w:pPr>
              <w:spacing w:after="0"/>
            </w:pPr>
            <w:r>
              <w:rPr>
                <w:rFonts w:ascii="Aptos" w:hAnsi="Aptos"/>
                <w:color w:val="252525"/>
                <w:sz w:val="17"/>
              </w:rPr>
              <w:t>2 per week</w:t>
            </w:r>
          </w:p>
        </w:tc>
        <w:tc>
          <w:tcPr>
            <w:tcW w:type="dxa" w:w="5040"/>
            <w:tcMar>
              <w:top w:w="100" w:type="dxa"/>
              <w:start w:w="130" w:type="dxa"/>
              <w:bottom w:w="100" w:type="dxa"/>
              <w:end w:w="130" w:type="dxa"/>
            </w:tcMar>
            <w:vAlign w:val="center"/>
          </w:tcPr>
          <w:p>
            <w:pPr>
              <w:spacing w:after="0"/>
            </w:pPr>
            <w:r>
              <w:rPr>
                <w:rFonts w:ascii="Aptos" w:hAnsi="Aptos"/>
                <w:color w:val="252525"/>
                <w:sz w:val="17"/>
              </w:rPr>
              <w:t>Approximately 24 videos adapted across selected platforms</w:t>
            </w:r>
          </w:p>
        </w:tc>
      </w:tr>
      <w:tr>
        <w:trPr>
          <w:cantSplit/>
        </w:trPr>
        <w:tc>
          <w:tcPr>
            <w:tcW w:type="dxa" w:w="3024"/>
            <w:tcMar>
              <w:top w:w="100" w:type="dxa"/>
              <w:start w:w="130" w:type="dxa"/>
              <w:bottom w:w="100" w:type="dxa"/>
              <w:end w:w="130" w:type="dxa"/>
            </w:tcMar>
            <w:shd w:fill="F6F3EF"/>
            <w:vAlign w:val="center"/>
          </w:tcPr>
          <w:p>
            <w:pPr>
              <w:spacing w:after="0"/>
            </w:pPr>
            <w:r>
              <w:rPr>
                <w:rFonts w:ascii="Aptos" w:hAnsi="Aptos"/>
                <w:color w:val="252525"/>
                <w:sz w:val="17"/>
              </w:rPr>
              <w:t>Carousel / static education</w:t>
            </w:r>
          </w:p>
        </w:tc>
        <w:tc>
          <w:tcPr>
            <w:tcW w:type="dxa" w:w="2232"/>
            <w:tcMar>
              <w:top w:w="100" w:type="dxa"/>
              <w:start w:w="130" w:type="dxa"/>
              <w:bottom w:w="100" w:type="dxa"/>
              <w:end w:w="130" w:type="dxa"/>
            </w:tcMar>
            <w:shd w:fill="F6F3EF"/>
            <w:vAlign w:val="center"/>
          </w:tcPr>
          <w:p>
            <w:pPr>
              <w:spacing w:after="0"/>
            </w:pPr>
            <w:r>
              <w:rPr>
                <w:rFonts w:ascii="Aptos" w:hAnsi="Aptos"/>
                <w:color w:val="252525"/>
                <w:sz w:val="17"/>
              </w:rPr>
              <w:t>1 per week</w:t>
            </w:r>
          </w:p>
        </w:tc>
        <w:tc>
          <w:tcPr>
            <w:tcW w:type="dxa" w:w="5040"/>
            <w:tcMar>
              <w:top w:w="100" w:type="dxa"/>
              <w:start w:w="130" w:type="dxa"/>
              <w:bottom w:w="100" w:type="dxa"/>
              <w:end w:w="130" w:type="dxa"/>
            </w:tcMar>
            <w:shd w:fill="F6F3EF"/>
            <w:vAlign w:val="center"/>
          </w:tcPr>
          <w:p>
            <w:pPr>
              <w:spacing w:after="0"/>
            </w:pPr>
            <w:r>
              <w:rPr>
                <w:rFonts w:ascii="Aptos" w:hAnsi="Aptos"/>
                <w:color w:val="252525"/>
                <w:sz w:val="17"/>
              </w:rPr>
              <w:t>Approximately 12 posts</w:t>
            </w:r>
          </w:p>
        </w:tc>
      </w:tr>
      <w:tr>
        <w:trPr>
          <w:cantSplit/>
        </w:trPr>
        <w:tc>
          <w:tcPr>
            <w:tcW w:type="dxa" w:w="3024"/>
            <w:tcMar>
              <w:top w:w="100" w:type="dxa"/>
              <w:start w:w="130" w:type="dxa"/>
              <w:bottom w:w="100" w:type="dxa"/>
              <w:end w:w="130" w:type="dxa"/>
            </w:tcMar>
            <w:vAlign w:val="center"/>
          </w:tcPr>
          <w:p>
            <w:pPr>
              <w:spacing w:after="0"/>
            </w:pPr>
            <w:r>
              <w:rPr>
                <w:rFonts w:ascii="Aptos" w:hAnsi="Aptos"/>
                <w:color w:val="252525"/>
                <w:sz w:val="17"/>
              </w:rPr>
              <w:t>Stories / informal updates</w:t>
            </w:r>
          </w:p>
        </w:tc>
        <w:tc>
          <w:tcPr>
            <w:tcW w:type="dxa" w:w="2232"/>
            <w:tcMar>
              <w:top w:w="100" w:type="dxa"/>
              <w:start w:w="130" w:type="dxa"/>
              <w:bottom w:w="100" w:type="dxa"/>
              <w:end w:w="130" w:type="dxa"/>
            </w:tcMar>
            <w:vAlign w:val="center"/>
          </w:tcPr>
          <w:p>
            <w:pPr>
              <w:spacing w:after="0"/>
            </w:pPr>
            <w:r>
              <w:rPr>
                <w:rFonts w:ascii="Aptos" w:hAnsi="Aptos"/>
                <w:color w:val="252525"/>
                <w:sz w:val="17"/>
              </w:rPr>
              <w:t>3-4 days per week</w:t>
            </w:r>
          </w:p>
        </w:tc>
        <w:tc>
          <w:tcPr>
            <w:tcW w:type="dxa" w:w="5040"/>
            <w:tcMar>
              <w:top w:w="100" w:type="dxa"/>
              <w:start w:w="130" w:type="dxa"/>
              <w:bottom w:w="100" w:type="dxa"/>
              <w:end w:w="130" w:type="dxa"/>
            </w:tcMar>
            <w:vAlign w:val="center"/>
          </w:tcPr>
          <w:p>
            <w:pPr>
              <w:spacing w:after="0"/>
            </w:pPr>
            <w:r>
              <w:rPr>
                <w:rFonts w:ascii="Aptos" w:hAnsi="Aptos"/>
                <w:color w:val="252525"/>
                <w:sz w:val="17"/>
              </w:rPr>
              <w:t>Process clips, polls, FAQs and CTA reminders</w:t>
            </w:r>
          </w:p>
        </w:tc>
      </w:tr>
      <w:tr>
        <w:trPr>
          <w:cantSplit/>
        </w:trPr>
        <w:tc>
          <w:tcPr>
            <w:tcW w:type="dxa" w:w="3024"/>
            <w:tcMar>
              <w:top w:w="100" w:type="dxa"/>
              <w:start w:w="130" w:type="dxa"/>
              <w:bottom w:w="100" w:type="dxa"/>
              <w:end w:w="130" w:type="dxa"/>
            </w:tcMar>
            <w:shd w:fill="F6F3EF"/>
            <w:vAlign w:val="center"/>
          </w:tcPr>
          <w:p>
            <w:pPr>
              <w:spacing w:after="0"/>
            </w:pPr>
            <w:r>
              <w:rPr>
                <w:rFonts w:ascii="Aptos" w:hAnsi="Aptos"/>
                <w:color w:val="252525"/>
                <w:sz w:val="17"/>
              </w:rPr>
              <w:t>LinkedIn founder content</w:t>
            </w:r>
          </w:p>
        </w:tc>
        <w:tc>
          <w:tcPr>
            <w:tcW w:type="dxa" w:w="2232"/>
            <w:tcMar>
              <w:top w:w="100" w:type="dxa"/>
              <w:start w:w="130" w:type="dxa"/>
              <w:bottom w:w="100" w:type="dxa"/>
              <w:end w:w="130" w:type="dxa"/>
            </w:tcMar>
            <w:shd w:fill="F6F3EF"/>
            <w:vAlign w:val="center"/>
          </w:tcPr>
          <w:p>
            <w:pPr>
              <w:spacing w:after="0"/>
            </w:pPr>
            <w:r>
              <w:rPr>
                <w:rFonts w:ascii="Aptos" w:hAnsi="Aptos"/>
                <w:color w:val="252525"/>
                <w:sz w:val="17"/>
              </w:rPr>
              <w:t>1 per week</w:t>
            </w:r>
          </w:p>
        </w:tc>
        <w:tc>
          <w:tcPr>
            <w:tcW w:type="dxa" w:w="5040"/>
            <w:tcMar>
              <w:top w:w="100" w:type="dxa"/>
              <w:start w:w="130" w:type="dxa"/>
              <w:bottom w:w="100" w:type="dxa"/>
              <w:end w:w="130" w:type="dxa"/>
            </w:tcMar>
            <w:shd w:fill="F6F3EF"/>
            <w:vAlign w:val="center"/>
          </w:tcPr>
          <w:p>
            <w:pPr>
              <w:spacing w:after="0"/>
            </w:pPr>
            <w:r>
              <w:rPr>
                <w:rFonts w:ascii="Aptos" w:hAnsi="Aptos"/>
                <w:color w:val="252525"/>
                <w:sz w:val="17"/>
              </w:rPr>
              <w:t>12 professional insight or case posts</w:t>
            </w:r>
          </w:p>
        </w:tc>
      </w:tr>
      <w:tr>
        <w:trPr>
          <w:cantSplit/>
        </w:trPr>
        <w:tc>
          <w:tcPr>
            <w:tcW w:type="dxa" w:w="3024"/>
            <w:tcMar>
              <w:top w:w="100" w:type="dxa"/>
              <w:start w:w="130" w:type="dxa"/>
              <w:bottom w:w="100" w:type="dxa"/>
              <w:end w:w="130" w:type="dxa"/>
            </w:tcMar>
            <w:vAlign w:val="center"/>
          </w:tcPr>
          <w:p>
            <w:pPr>
              <w:spacing w:after="0"/>
            </w:pPr>
            <w:r>
              <w:rPr>
                <w:rFonts w:ascii="Aptos" w:hAnsi="Aptos"/>
                <w:color w:val="252525"/>
                <w:sz w:val="17"/>
              </w:rPr>
              <w:t>Email nurture</w:t>
            </w:r>
          </w:p>
        </w:tc>
        <w:tc>
          <w:tcPr>
            <w:tcW w:type="dxa" w:w="2232"/>
            <w:tcMar>
              <w:top w:w="100" w:type="dxa"/>
              <w:start w:w="130" w:type="dxa"/>
              <w:bottom w:w="100" w:type="dxa"/>
              <w:end w:w="130" w:type="dxa"/>
            </w:tcMar>
            <w:vAlign w:val="center"/>
          </w:tcPr>
          <w:p>
            <w:pPr>
              <w:spacing w:after="0"/>
            </w:pPr>
            <w:r>
              <w:rPr>
                <w:rFonts w:ascii="Aptos" w:hAnsi="Aptos"/>
                <w:color w:val="252525"/>
                <w:sz w:val="17"/>
              </w:rPr>
              <w:t>Triggered sequence</w:t>
            </w:r>
          </w:p>
        </w:tc>
        <w:tc>
          <w:tcPr>
            <w:tcW w:type="dxa" w:w="5040"/>
            <w:tcMar>
              <w:top w:w="100" w:type="dxa"/>
              <w:start w:w="130" w:type="dxa"/>
              <w:bottom w:w="100" w:type="dxa"/>
              <w:end w:w="130" w:type="dxa"/>
            </w:tcMar>
            <w:vAlign w:val="center"/>
          </w:tcPr>
          <w:p>
            <w:pPr>
              <w:spacing w:after="0"/>
            </w:pPr>
            <w:r>
              <w:rPr>
                <w:rFonts w:ascii="Aptos" w:hAnsi="Aptos"/>
                <w:color w:val="252525"/>
                <w:sz w:val="17"/>
              </w:rPr>
              <w:t>4 automated emails per new subscriber</w:t>
            </w:r>
          </w:p>
        </w:tc>
      </w:tr>
      <w:tr>
        <w:trPr>
          <w:cantSplit/>
        </w:trPr>
        <w:tc>
          <w:tcPr>
            <w:tcW w:type="dxa" w:w="3024"/>
            <w:tcMar>
              <w:top w:w="100" w:type="dxa"/>
              <w:start w:w="130" w:type="dxa"/>
              <w:bottom w:w="100" w:type="dxa"/>
              <w:end w:w="130" w:type="dxa"/>
            </w:tcMar>
            <w:shd w:fill="F6F3EF"/>
            <w:vAlign w:val="center"/>
          </w:tcPr>
          <w:p>
            <w:pPr>
              <w:spacing w:after="0"/>
            </w:pPr>
            <w:r>
              <w:rPr>
                <w:rFonts w:ascii="Aptos" w:hAnsi="Aptos"/>
                <w:color w:val="252525"/>
                <w:sz w:val="17"/>
              </w:rPr>
              <w:t>Consultation follow-up</w:t>
            </w:r>
          </w:p>
        </w:tc>
        <w:tc>
          <w:tcPr>
            <w:tcW w:type="dxa" w:w="2232"/>
            <w:tcMar>
              <w:top w:w="100" w:type="dxa"/>
              <w:start w:w="130" w:type="dxa"/>
              <w:bottom w:w="100" w:type="dxa"/>
              <w:end w:w="130" w:type="dxa"/>
            </w:tcMar>
            <w:shd w:fill="F6F3EF"/>
            <w:vAlign w:val="center"/>
          </w:tcPr>
          <w:p>
            <w:pPr>
              <w:spacing w:after="0"/>
            </w:pPr>
            <w:r>
              <w:rPr>
                <w:rFonts w:ascii="Aptos" w:hAnsi="Aptos"/>
                <w:color w:val="252525"/>
                <w:sz w:val="17"/>
              </w:rPr>
              <w:t>Within 24 hours</w:t>
            </w:r>
          </w:p>
        </w:tc>
        <w:tc>
          <w:tcPr>
            <w:tcW w:type="dxa" w:w="5040"/>
            <w:tcMar>
              <w:top w:w="100" w:type="dxa"/>
              <w:start w:w="130" w:type="dxa"/>
              <w:bottom w:w="100" w:type="dxa"/>
              <w:end w:w="130" w:type="dxa"/>
            </w:tcMar>
            <w:shd w:fill="F6F3EF"/>
            <w:vAlign w:val="center"/>
          </w:tcPr>
          <w:p>
            <w:pPr>
              <w:spacing w:after="0"/>
            </w:pPr>
            <w:r>
              <w:rPr>
                <w:rFonts w:ascii="Aptos" w:hAnsi="Aptos"/>
                <w:color w:val="252525"/>
                <w:sz w:val="17"/>
              </w:rPr>
              <w:t>Personal recap and recommended paid pilot</w:t>
            </w:r>
          </w:p>
        </w:tc>
      </w:tr>
    </w:tbl>
    <w:p>
      <w:pPr>
        <w:spacing w:after="20"/>
      </w:pPr>
    </w:p>
    <w:p>
      <w:pPr>
        <w:pStyle w:val="Heading2"/>
      </w:pPr>
      <w:r>
        <w:t>Working budget (CAD)</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cantSplit/>
        </w:trPr>
        <w:tc>
          <w:tcPr>
            <w:tcW w:type="dxa" w:w="3240"/>
            <w:shd w:fill="F3DF45"/>
            <w:tcMar>
              <w:top w:w="100" w:type="dxa"/>
              <w:start w:w="130" w:type="dxa"/>
              <w:bottom w:w="100" w:type="dxa"/>
              <w:end w:w="130" w:type="dxa"/>
            </w:tcMar>
          </w:tcPr>
          <w:p>
            <w:pPr>
              <w:jc w:val="left"/>
            </w:pPr>
            <w:r>
              <w:rPr>
                <w:rFonts w:ascii="Aptos" w:hAnsi="Aptos"/>
                <w:b/>
                <w:color w:val="18324A"/>
                <w:sz w:val="17"/>
              </w:rPr>
              <w:t>Item</w:t>
            </w:r>
          </w:p>
        </w:tc>
        <w:tc>
          <w:tcPr>
            <w:tcW w:type="dxa" w:w="1440"/>
            <w:shd w:fill="F3DF45"/>
            <w:tcMar>
              <w:top w:w="100" w:type="dxa"/>
              <w:start w:w="130" w:type="dxa"/>
              <w:bottom w:w="100" w:type="dxa"/>
              <w:end w:w="130" w:type="dxa"/>
            </w:tcMar>
          </w:tcPr>
          <w:p>
            <w:pPr>
              <w:jc w:val="left"/>
            </w:pPr>
            <w:r>
              <w:rPr>
                <w:rFonts w:ascii="Aptos" w:hAnsi="Aptos"/>
                <w:b/>
                <w:color w:val="18324A"/>
                <w:sz w:val="17"/>
              </w:rPr>
              <w:t>Budget</w:t>
            </w:r>
          </w:p>
        </w:tc>
        <w:tc>
          <w:tcPr>
            <w:tcW w:type="dxa" w:w="5616"/>
            <w:shd w:fill="F3DF45"/>
            <w:tcMar>
              <w:top w:w="100" w:type="dxa"/>
              <w:start w:w="130" w:type="dxa"/>
              <w:bottom w:w="100" w:type="dxa"/>
              <w:end w:w="130" w:type="dxa"/>
            </w:tcMar>
          </w:tcPr>
          <w:p>
            <w:pPr>
              <w:jc w:val="left"/>
            </w:pPr>
            <w:r>
              <w:rPr>
                <w:rFonts w:ascii="Aptos" w:hAnsi="Aptos"/>
                <w:b/>
                <w:color w:val="18324A"/>
                <w:sz w:val="17"/>
              </w:rPr>
              <w:t>Reason</w:t>
            </w:r>
          </w:p>
        </w:tc>
      </w:tr>
      <w:tr>
        <w:trPr>
          <w:cantSplit/>
        </w:trPr>
        <w:tc>
          <w:tcPr>
            <w:tcW w:type="dxa" w:w="3240"/>
            <w:tcMar>
              <w:top w:w="100" w:type="dxa"/>
              <w:start w:w="130" w:type="dxa"/>
              <w:bottom w:w="100" w:type="dxa"/>
              <w:end w:w="130" w:type="dxa"/>
            </w:tcMar>
            <w:vAlign w:val="center"/>
          </w:tcPr>
          <w:p>
            <w:pPr>
              <w:spacing w:after="0"/>
            </w:pPr>
            <w:r>
              <w:rPr>
                <w:rFonts w:ascii="Aptos" w:hAnsi="Aptos"/>
                <w:color w:val="252525"/>
                <w:sz w:val="17"/>
              </w:rPr>
              <w:t>Meta retargeting</w:t>
            </w:r>
          </w:p>
        </w:tc>
        <w:tc>
          <w:tcPr>
            <w:tcW w:type="dxa" w:w="1440"/>
            <w:tcMar>
              <w:top w:w="100" w:type="dxa"/>
              <w:start w:w="130" w:type="dxa"/>
              <w:bottom w:w="100" w:type="dxa"/>
              <w:end w:w="130" w:type="dxa"/>
            </w:tcMar>
            <w:vAlign w:val="center"/>
          </w:tcPr>
          <w:p>
            <w:pPr>
              <w:spacing w:after="0"/>
            </w:pPr>
            <w:r>
              <w:rPr>
                <w:rFonts w:ascii="Aptos" w:hAnsi="Aptos"/>
                <w:color w:val="252525"/>
                <w:sz w:val="17"/>
              </w:rPr>
              <w:t>$450</w:t>
            </w:r>
          </w:p>
        </w:tc>
        <w:tc>
          <w:tcPr>
            <w:tcW w:type="dxa" w:w="5616"/>
            <w:tcMar>
              <w:top w:w="100" w:type="dxa"/>
              <w:start w:w="130" w:type="dxa"/>
              <w:bottom w:w="100" w:type="dxa"/>
              <w:end w:w="130" w:type="dxa"/>
            </w:tcMar>
            <w:vAlign w:val="center"/>
          </w:tcPr>
          <w:p>
            <w:pPr>
              <w:spacing w:after="0"/>
            </w:pPr>
            <w:r>
              <w:rPr>
                <w:rFonts w:ascii="Aptos" w:hAnsi="Aptos"/>
                <w:color w:val="252525"/>
                <w:sz w:val="17"/>
              </w:rPr>
              <w:t>Warm-audience support; approximately $5/day during active periods.</w:t>
            </w:r>
          </w:p>
        </w:tc>
      </w:tr>
      <w:tr>
        <w:trPr>
          <w:cantSplit/>
        </w:trPr>
        <w:tc>
          <w:tcPr>
            <w:tcW w:type="dxa" w:w="3240"/>
            <w:tcMar>
              <w:top w:w="100" w:type="dxa"/>
              <w:start w:w="130" w:type="dxa"/>
              <w:bottom w:w="100" w:type="dxa"/>
              <w:end w:w="130" w:type="dxa"/>
            </w:tcMar>
            <w:shd w:fill="F6F3EF"/>
            <w:vAlign w:val="center"/>
          </w:tcPr>
          <w:p>
            <w:pPr>
              <w:spacing w:after="0"/>
            </w:pPr>
            <w:r>
              <w:rPr>
                <w:rFonts w:ascii="Aptos" w:hAnsi="Aptos"/>
                <w:color w:val="252525"/>
                <w:sz w:val="17"/>
              </w:rPr>
              <w:t>Landing page/email/tools</w:t>
            </w:r>
          </w:p>
        </w:tc>
        <w:tc>
          <w:tcPr>
            <w:tcW w:type="dxa" w:w="1440"/>
            <w:tcMar>
              <w:top w:w="100" w:type="dxa"/>
              <w:start w:w="130" w:type="dxa"/>
              <w:bottom w:w="100" w:type="dxa"/>
              <w:end w:w="130" w:type="dxa"/>
            </w:tcMar>
            <w:shd w:fill="F6F3EF"/>
            <w:vAlign w:val="center"/>
          </w:tcPr>
          <w:p>
            <w:pPr>
              <w:spacing w:after="0"/>
            </w:pPr>
            <w:r>
              <w:rPr>
                <w:rFonts w:ascii="Aptos" w:hAnsi="Aptos"/>
                <w:color w:val="252525"/>
                <w:sz w:val="17"/>
              </w:rPr>
              <w:t>$150</w:t>
            </w:r>
          </w:p>
        </w:tc>
        <w:tc>
          <w:tcPr>
            <w:tcW w:type="dxa" w:w="5616"/>
            <w:tcMar>
              <w:top w:w="100" w:type="dxa"/>
              <w:start w:w="130" w:type="dxa"/>
              <w:bottom w:w="100" w:type="dxa"/>
              <w:end w:w="130" w:type="dxa"/>
            </w:tcMar>
            <w:shd w:fill="F6F3EF"/>
            <w:vAlign w:val="center"/>
          </w:tcPr>
          <w:p>
            <w:pPr>
              <w:spacing w:after="0"/>
            </w:pPr>
            <w:r>
              <w:rPr>
                <w:rFonts w:ascii="Aptos" w:hAnsi="Aptos"/>
                <w:color w:val="252525"/>
                <w:sz w:val="17"/>
              </w:rPr>
              <w:t>Domain, email or design/tool allowance.</w:t>
            </w:r>
          </w:p>
        </w:tc>
      </w:tr>
      <w:tr>
        <w:trPr>
          <w:cantSplit/>
        </w:trPr>
        <w:tc>
          <w:tcPr>
            <w:tcW w:type="dxa" w:w="3240"/>
            <w:tcMar>
              <w:top w:w="100" w:type="dxa"/>
              <w:start w:w="130" w:type="dxa"/>
              <w:bottom w:w="100" w:type="dxa"/>
              <w:end w:w="130" w:type="dxa"/>
            </w:tcMar>
            <w:vAlign w:val="center"/>
          </w:tcPr>
          <w:p>
            <w:pPr>
              <w:spacing w:after="0"/>
            </w:pPr>
            <w:r>
              <w:rPr>
                <w:rFonts w:ascii="Aptos" w:hAnsi="Aptos"/>
                <w:color w:val="252525"/>
                <w:sz w:val="17"/>
              </w:rPr>
              <w:t>Production/transport/props</w:t>
            </w:r>
          </w:p>
        </w:tc>
        <w:tc>
          <w:tcPr>
            <w:tcW w:type="dxa" w:w="1440"/>
            <w:tcMar>
              <w:top w:w="100" w:type="dxa"/>
              <w:start w:w="130" w:type="dxa"/>
              <w:bottom w:w="100" w:type="dxa"/>
              <w:end w:w="130" w:type="dxa"/>
            </w:tcMar>
            <w:vAlign w:val="center"/>
          </w:tcPr>
          <w:p>
            <w:pPr>
              <w:spacing w:after="0"/>
            </w:pPr>
            <w:r>
              <w:rPr>
                <w:rFonts w:ascii="Aptos" w:hAnsi="Aptos"/>
                <w:color w:val="252525"/>
                <w:sz w:val="17"/>
              </w:rPr>
              <w:t>$200</w:t>
            </w:r>
          </w:p>
        </w:tc>
        <w:tc>
          <w:tcPr>
            <w:tcW w:type="dxa" w:w="5616"/>
            <w:tcMar>
              <w:top w:w="100" w:type="dxa"/>
              <w:start w:w="130" w:type="dxa"/>
              <w:bottom w:w="100" w:type="dxa"/>
              <w:end w:w="130" w:type="dxa"/>
            </w:tcMar>
            <w:vAlign w:val="center"/>
          </w:tcPr>
          <w:p>
            <w:pPr>
              <w:spacing w:after="0"/>
            </w:pPr>
            <w:r>
              <w:rPr>
                <w:rFonts w:ascii="Aptos" w:hAnsi="Aptos"/>
                <w:color w:val="252525"/>
                <w:sz w:val="17"/>
              </w:rPr>
              <w:t>Local filming logistics and small production needs.</w:t>
            </w:r>
          </w:p>
        </w:tc>
      </w:tr>
      <w:tr>
        <w:trPr>
          <w:cantSplit/>
        </w:trPr>
        <w:tc>
          <w:tcPr>
            <w:tcW w:type="dxa" w:w="3240"/>
            <w:tcMar>
              <w:top w:w="100" w:type="dxa"/>
              <w:start w:w="130" w:type="dxa"/>
              <w:bottom w:w="100" w:type="dxa"/>
              <w:end w:w="130" w:type="dxa"/>
            </w:tcMar>
            <w:shd w:fill="F6F3EF"/>
            <w:vAlign w:val="center"/>
          </w:tcPr>
          <w:p>
            <w:pPr>
              <w:spacing w:after="0"/>
            </w:pPr>
            <w:r>
              <w:rPr>
                <w:rFonts w:ascii="Aptos" w:hAnsi="Aptos"/>
                <w:color w:val="252525"/>
                <w:sz w:val="17"/>
              </w:rPr>
              <w:t>Contingency</w:t>
            </w:r>
          </w:p>
        </w:tc>
        <w:tc>
          <w:tcPr>
            <w:tcW w:type="dxa" w:w="1440"/>
            <w:tcMar>
              <w:top w:w="100" w:type="dxa"/>
              <w:start w:w="130" w:type="dxa"/>
              <w:bottom w:w="100" w:type="dxa"/>
              <w:end w:w="130" w:type="dxa"/>
            </w:tcMar>
            <w:shd w:fill="F6F3EF"/>
            <w:vAlign w:val="center"/>
          </w:tcPr>
          <w:p>
            <w:pPr>
              <w:spacing w:after="0"/>
            </w:pPr>
            <w:r>
              <w:rPr>
                <w:rFonts w:ascii="Aptos" w:hAnsi="Aptos"/>
                <w:color w:val="252525"/>
                <w:sz w:val="17"/>
              </w:rPr>
              <w:t>$100</w:t>
            </w:r>
          </w:p>
        </w:tc>
        <w:tc>
          <w:tcPr>
            <w:tcW w:type="dxa" w:w="5616"/>
            <w:tcMar>
              <w:top w:w="100" w:type="dxa"/>
              <w:start w:w="130" w:type="dxa"/>
              <w:bottom w:w="100" w:type="dxa"/>
              <w:end w:w="130" w:type="dxa"/>
            </w:tcMar>
            <w:shd w:fill="F6F3EF"/>
            <w:vAlign w:val="center"/>
          </w:tcPr>
          <w:p>
            <w:pPr>
              <w:spacing w:after="0"/>
            </w:pPr>
            <w:r>
              <w:rPr>
                <w:rFonts w:ascii="Aptos" w:hAnsi="Aptos"/>
                <w:color w:val="252525"/>
                <w:sz w:val="17"/>
              </w:rPr>
              <w:t>Testing, replacement assets or small collaboration cost.</w:t>
            </w:r>
          </w:p>
        </w:tc>
      </w:tr>
      <w:tr>
        <w:trPr>
          <w:cantSplit/>
        </w:trPr>
        <w:tc>
          <w:tcPr>
            <w:tcW w:type="dxa" w:w="3240"/>
            <w:tcMar>
              <w:top w:w="100" w:type="dxa"/>
              <w:start w:w="130" w:type="dxa"/>
              <w:bottom w:w="100" w:type="dxa"/>
              <w:end w:w="130" w:type="dxa"/>
            </w:tcMar>
            <w:vAlign w:val="center"/>
          </w:tcPr>
          <w:p>
            <w:pPr>
              <w:spacing w:after="0"/>
            </w:pPr>
            <w:r>
              <w:rPr>
                <w:rFonts w:ascii="Aptos" w:hAnsi="Aptos"/>
                <w:color w:val="252525"/>
                <w:sz w:val="17"/>
              </w:rPr>
              <w:t>Total</w:t>
            </w:r>
          </w:p>
        </w:tc>
        <w:tc>
          <w:tcPr>
            <w:tcW w:type="dxa" w:w="1440"/>
            <w:tcMar>
              <w:top w:w="100" w:type="dxa"/>
              <w:start w:w="130" w:type="dxa"/>
              <w:bottom w:w="100" w:type="dxa"/>
              <w:end w:w="130" w:type="dxa"/>
            </w:tcMar>
            <w:vAlign w:val="center"/>
          </w:tcPr>
          <w:p>
            <w:pPr>
              <w:spacing w:after="0"/>
            </w:pPr>
            <w:r>
              <w:rPr>
                <w:rFonts w:ascii="Aptos" w:hAnsi="Aptos"/>
                <w:color w:val="252525"/>
                <w:sz w:val="17"/>
              </w:rPr>
              <w:t>$900</w:t>
            </w:r>
          </w:p>
        </w:tc>
        <w:tc>
          <w:tcPr>
            <w:tcW w:type="dxa" w:w="5616"/>
            <w:tcMar>
              <w:top w:w="100" w:type="dxa"/>
              <w:start w:w="130" w:type="dxa"/>
              <w:bottom w:w="100" w:type="dxa"/>
              <w:end w:w="130" w:type="dxa"/>
            </w:tcMar>
            <w:vAlign w:val="center"/>
          </w:tcPr>
          <w:p>
            <w:pPr>
              <w:spacing w:after="0"/>
            </w:pPr>
            <w:r>
              <w:rPr>
                <w:rFonts w:ascii="Aptos" w:hAnsi="Aptos"/>
                <w:color w:val="252525"/>
                <w:sz w:val="17"/>
              </w:rPr>
              <w:t>A lean founder-led test before increasing spend.</w:t>
            </w:r>
          </w:p>
        </w:tc>
      </w:tr>
    </w:tbl>
    <w:p>
      <w:pPr>
        <w:spacing w:after="20"/>
      </w:pPr>
    </w:p>
    <w:p>
      <w:pPr>
        <w:pStyle w:val="Heading2"/>
      </w:pPr>
      <w:r>
        <w:t>Measurement framework</w:t>
      </w:r>
    </w:p>
    <w:tbl>
      <w:tblPr>
        <w:tblStyle w:val="TableGrid"/>
        <w:tblW w:type="auto" w:w="0"/>
        <w:jc w:val="center"/>
        <w:tblLayout w:type="fixed"/>
        <w:tblLook w:firstColumn="1" w:firstRow="1" w:lastColumn="0" w:lastRow="0" w:noHBand="0" w:noVBand="1" w:val="04A0"/>
      </w:tblPr>
      <w:tblGrid>
        <w:gridCol w:w="2469"/>
        <w:gridCol w:w="2469"/>
        <w:gridCol w:w="2469"/>
        <w:gridCol w:w="2469"/>
      </w:tblGrid>
      <w:tr>
        <w:trPr>
          <w:tblHeader w:val="true"/>
          <w:cantSplit/>
        </w:trPr>
        <w:tc>
          <w:tcPr>
            <w:tcW w:type="dxa" w:w="1656"/>
            <w:shd w:fill="F3DF45"/>
            <w:tcMar>
              <w:top w:w="100" w:type="dxa"/>
              <w:start w:w="130" w:type="dxa"/>
              <w:bottom w:w="100" w:type="dxa"/>
              <w:end w:w="130" w:type="dxa"/>
            </w:tcMar>
          </w:tcPr>
          <w:p>
            <w:pPr>
              <w:jc w:val="left"/>
            </w:pPr>
            <w:r>
              <w:rPr>
                <w:rFonts w:ascii="Aptos" w:hAnsi="Aptos"/>
                <w:b/>
                <w:color w:val="18324A"/>
                <w:sz w:val="16"/>
              </w:rPr>
              <w:t>Funnel stage</w:t>
            </w:r>
          </w:p>
        </w:tc>
        <w:tc>
          <w:tcPr>
            <w:tcW w:type="dxa" w:w="3240"/>
            <w:shd w:fill="F3DF45"/>
            <w:tcMar>
              <w:top w:w="100" w:type="dxa"/>
              <w:start w:w="130" w:type="dxa"/>
              <w:bottom w:w="100" w:type="dxa"/>
              <w:end w:w="130" w:type="dxa"/>
            </w:tcMar>
          </w:tcPr>
          <w:p>
            <w:pPr>
              <w:jc w:val="left"/>
            </w:pPr>
            <w:r>
              <w:rPr>
                <w:rFonts w:ascii="Aptos" w:hAnsi="Aptos"/>
                <w:b/>
                <w:color w:val="18324A"/>
                <w:sz w:val="16"/>
              </w:rPr>
              <w:t>KPI</w:t>
            </w:r>
          </w:p>
        </w:tc>
        <w:tc>
          <w:tcPr>
            <w:tcW w:type="dxa" w:w="1656"/>
            <w:shd w:fill="F3DF45"/>
            <w:tcMar>
              <w:top w:w="100" w:type="dxa"/>
              <w:start w:w="130" w:type="dxa"/>
              <w:bottom w:w="100" w:type="dxa"/>
              <w:end w:w="130" w:type="dxa"/>
            </w:tcMar>
          </w:tcPr>
          <w:p>
            <w:pPr>
              <w:jc w:val="left"/>
            </w:pPr>
            <w:r>
              <w:rPr>
                <w:rFonts w:ascii="Aptos" w:hAnsi="Aptos"/>
                <w:b/>
                <w:color w:val="18324A"/>
                <w:sz w:val="16"/>
              </w:rPr>
              <w:t>Target</w:t>
            </w:r>
          </w:p>
        </w:tc>
        <w:tc>
          <w:tcPr>
            <w:tcW w:type="dxa" w:w="3744"/>
            <w:shd w:fill="F3DF45"/>
            <w:tcMar>
              <w:top w:w="100" w:type="dxa"/>
              <w:start w:w="130" w:type="dxa"/>
              <w:bottom w:w="100" w:type="dxa"/>
              <w:end w:w="130" w:type="dxa"/>
            </w:tcMar>
          </w:tcPr>
          <w:p>
            <w:pPr>
              <w:jc w:val="left"/>
            </w:pPr>
            <w:r>
              <w:rPr>
                <w:rFonts w:ascii="Aptos" w:hAnsi="Aptos"/>
                <w:b/>
                <w:color w:val="18324A"/>
                <w:sz w:val="16"/>
              </w:rPr>
              <w:t>Tool / source</w:t>
            </w:r>
          </w:p>
        </w:tc>
      </w:tr>
      <w:tr>
        <w:trPr>
          <w:cantSplit/>
        </w:trPr>
        <w:tc>
          <w:tcPr>
            <w:tcW w:type="dxa" w:w="1656"/>
            <w:tcMar>
              <w:top w:w="100" w:type="dxa"/>
              <w:start w:w="130" w:type="dxa"/>
              <w:bottom w:w="100" w:type="dxa"/>
              <w:end w:w="130" w:type="dxa"/>
            </w:tcMar>
            <w:vAlign w:val="center"/>
          </w:tcPr>
          <w:p>
            <w:pPr>
              <w:spacing w:after="0"/>
            </w:pPr>
            <w:r>
              <w:rPr>
                <w:rFonts w:ascii="Aptos" w:hAnsi="Aptos"/>
                <w:color w:val="252525"/>
                <w:sz w:val="16"/>
              </w:rPr>
              <w:t>Awareness</w:t>
            </w:r>
          </w:p>
        </w:tc>
        <w:tc>
          <w:tcPr>
            <w:tcW w:type="dxa" w:w="3240"/>
            <w:tcMar>
              <w:top w:w="100" w:type="dxa"/>
              <w:start w:w="130" w:type="dxa"/>
              <w:bottom w:w="100" w:type="dxa"/>
              <w:end w:w="130" w:type="dxa"/>
            </w:tcMar>
            <w:vAlign w:val="center"/>
          </w:tcPr>
          <w:p>
            <w:pPr>
              <w:spacing w:after="0"/>
            </w:pPr>
            <w:r>
              <w:rPr>
                <w:rFonts w:ascii="Aptos" w:hAnsi="Aptos"/>
                <w:color w:val="252525"/>
                <w:sz w:val="16"/>
              </w:rPr>
              <w:t>Relevant social impressions</w:t>
            </w:r>
          </w:p>
        </w:tc>
        <w:tc>
          <w:tcPr>
            <w:tcW w:type="dxa" w:w="1656"/>
            <w:tcMar>
              <w:top w:w="100" w:type="dxa"/>
              <w:start w:w="130" w:type="dxa"/>
              <w:bottom w:w="100" w:type="dxa"/>
              <w:end w:w="130" w:type="dxa"/>
            </w:tcMar>
            <w:vAlign w:val="center"/>
          </w:tcPr>
          <w:p>
            <w:pPr>
              <w:spacing w:after="0"/>
            </w:pPr>
            <w:r>
              <w:rPr>
                <w:rFonts w:ascii="Aptos" w:hAnsi="Aptos"/>
                <w:color w:val="252525"/>
                <w:sz w:val="16"/>
              </w:rPr>
              <w:t>20,000+</w:t>
            </w:r>
          </w:p>
        </w:tc>
        <w:tc>
          <w:tcPr>
            <w:tcW w:type="dxa" w:w="3744"/>
            <w:tcMar>
              <w:top w:w="100" w:type="dxa"/>
              <w:start w:w="130" w:type="dxa"/>
              <w:bottom w:w="100" w:type="dxa"/>
              <w:end w:w="130" w:type="dxa"/>
            </w:tcMar>
            <w:vAlign w:val="center"/>
          </w:tcPr>
          <w:p>
            <w:pPr>
              <w:spacing w:after="0"/>
            </w:pPr>
            <w:r>
              <w:rPr>
                <w:rFonts w:ascii="Aptos" w:hAnsi="Aptos"/>
                <w:color w:val="252525"/>
                <w:sz w:val="16"/>
              </w:rPr>
              <w:t>Native platform insights</w:t>
            </w:r>
          </w:p>
        </w:tc>
      </w:tr>
      <w:tr>
        <w:trPr>
          <w:cantSplit/>
        </w:trPr>
        <w:tc>
          <w:tcPr>
            <w:tcW w:type="dxa" w:w="1656"/>
            <w:tcMar>
              <w:top w:w="100" w:type="dxa"/>
              <w:start w:w="130" w:type="dxa"/>
              <w:bottom w:w="100" w:type="dxa"/>
              <w:end w:w="130" w:type="dxa"/>
            </w:tcMar>
            <w:shd w:fill="F6F3EF"/>
            <w:vAlign w:val="center"/>
          </w:tcPr>
          <w:p>
            <w:pPr>
              <w:spacing w:after="0"/>
            </w:pPr>
            <w:r>
              <w:rPr>
                <w:rFonts w:ascii="Aptos" w:hAnsi="Aptos"/>
                <w:color w:val="252525"/>
                <w:sz w:val="16"/>
              </w:rPr>
              <w:t>Interest</w:t>
            </w:r>
          </w:p>
        </w:tc>
        <w:tc>
          <w:tcPr>
            <w:tcW w:type="dxa" w:w="3240"/>
            <w:tcMar>
              <w:top w:w="100" w:type="dxa"/>
              <w:start w:w="130" w:type="dxa"/>
              <w:bottom w:w="100" w:type="dxa"/>
              <w:end w:w="130" w:type="dxa"/>
            </w:tcMar>
            <w:shd w:fill="F6F3EF"/>
            <w:vAlign w:val="center"/>
          </w:tcPr>
          <w:p>
            <w:pPr>
              <w:spacing w:after="0"/>
            </w:pPr>
            <w:r>
              <w:rPr>
                <w:rFonts w:ascii="Aptos" w:hAnsi="Aptos"/>
                <w:color w:val="252525"/>
                <w:sz w:val="16"/>
              </w:rPr>
              <w:t>Landing-page visits</w:t>
            </w:r>
          </w:p>
        </w:tc>
        <w:tc>
          <w:tcPr>
            <w:tcW w:type="dxa" w:w="1656"/>
            <w:tcMar>
              <w:top w:w="100" w:type="dxa"/>
              <w:start w:w="130" w:type="dxa"/>
              <w:bottom w:w="100" w:type="dxa"/>
              <w:end w:w="130" w:type="dxa"/>
            </w:tcMar>
            <w:shd w:fill="F6F3EF"/>
            <w:vAlign w:val="center"/>
          </w:tcPr>
          <w:p>
            <w:pPr>
              <w:spacing w:after="0"/>
            </w:pPr>
            <w:r>
              <w:rPr>
                <w:rFonts w:ascii="Aptos" w:hAnsi="Aptos"/>
                <w:color w:val="252525"/>
                <w:sz w:val="16"/>
              </w:rPr>
              <w:t>300</w:t>
            </w:r>
          </w:p>
        </w:tc>
        <w:tc>
          <w:tcPr>
            <w:tcW w:type="dxa" w:w="3744"/>
            <w:tcMar>
              <w:top w:w="100" w:type="dxa"/>
              <w:start w:w="130" w:type="dxa"/>
              <w:bottom w:w="100" w:type="dxa"/>
              <w:end w:w="130" w:type="dxa"/>
            </w:tcMar>
            <w:shd w:fill="F6F3EF"/>
            <w:vAlign w:val="center"/>
          </w:tcPr>
          <w:p>
            <w:pPr>
              <w:spacing w:after="0"/>
            </w:pPr>
            <w:r>
              <w:rPr>
                <w:rFonts w:ascii="Aptos" w:hAnsi="Aptos"/>
                <w:color w:val="252525"/>
                <w:sz w:val="16"/>
              </w:rPr>
              <w:t>GA4 + UTM links</w:t>
            </w:r>
          </w:p>
        </w:tc>
      </w:tr>
      <w:tr>
        <w:trPr>
          <w:cantSplit/>
        </w:trPr>
        <w:tc>
          <w:tcPr>
            <w:tcW w:type="dxa" w:w="1656"/>
            <w:tcMar>
              <w:top w:w="100" w:type="dxa"/>
              <w:start w:w="130" w:type="dxa"/>
              <w:bottom w:w="100" w:type="dxa"/>
              <w:end w:w="130" w:type="dxa"/>
            </w:tcMar>
            <w:vAlign w:val="center"/>
          </w:tcPr>
          <w:p>
            <w:pPr>
              <w:spacing w:after="0"/>
            </w:pPr>
            <w:r>
              <w:rPr>
                <w:rFonts w:ascii="Aptos" w:hAnsi="Aptos"/>
                <w:color w:val="252525"/>
                <w:sz w:val="16"/>
              </w:rPr>
              <w:t>Lead capture</w:t>
            </w:r>
          </w:p>
        </w:tc>
        <w:tc>
          <w:tcPr>
            <w:tcW w:type="dxa" w:w="3240"/>
            <w:tcMar>
              <w:top w:w="100" w:type="dxa"/>
              <w:start w:w="130" w:type="dxa"/>
              <w:bottom w:w="100" w:type="dxa"/>
              <w:end w:w="130" w:type="dxa"/>
            </w:tcMar>
            <w:vAlign w:val="center"/>
          </w:tcPr>
          <w:p>
            <w:pPr>
              <w:spacing w:after="0"/>
            </w:pPr>
            <w:r>
              <w:rPr>
                <w:rFonts w:ascii="Aptos" w:hAnsi="Aptos"/>
                <w:color w:val="252525"/>
                <w:sz w:val="16"/>
              </w:rPr>
              <w:t>New email subscribers</w:t>
            </w:r>
          </w:p>
        </w:tc>
        <w:tc>
          <w:tcPr>
            <w:tcW w:type="dxa" w:w="1656"/>
            <w:tcMar>
              <w:top w:w="100" w:type="dxa"/>
              <w:start w:w="130" w:type="dxa"/>
              <w:bottom w:w="100" w:type="dxa"/>
              <w:end w:w="130" w:type="dxa"/>
            </w:tcMar>
            <w:vAlign w:val="center"/>
          </w:tcPr>
          <w:p>
            <w:pPr>
              <w:spacing w:after="0"/>
            </w:pPr>
            <w:r>
              <w:rPr>
                <w:rFonts w:ascii="Aptos" w:hAnsi="Aptos"/>
                <w:color w:val="252525"/>
                <w:sz w:val="16"/>
              </w:rPr>
              <w:t>100</w:t>
            </w:r>
          </w:p>
        </w:tc>
        <w:tc>
          <w:tcPr>
            <w:tcW w:type="dxa" w:w="3744"/>
            <w:tcMar>
              <w:top w:w="100" w:type="dxa"/>
              <w:start w:w="130" w:type="dxa"/>
              <w:bottom w:w="100" w:type="dxa"/>
              <w:end w:w="130" w:type="dxa"/>
            </w:tcMar>
            <w:vAlign w:val="center"/>
          </w:tcPr>
          <w:p>
            <w:pPr>
              <w:spacing w:after="0"/>
            </w:pPr>
            <w:r>
              <w:rPr>
                <w:rFonts w:ascii="Aptos" w:hAnsi="Aptos"/>
                <w:color w:val="252525"/>
                <w:sz w:val="16"/>
              </w:rPr>
              <w:t>Mailchimp + landing form</w:t>
            </w:r>
          </w:p>
        </w:tc>
      </w:tr>
      <w:tr>
        <w:trPr>
          <w:cantSplit/>
        </w:trPr>
        <w:tc>
          <w:tcPr>
            <w:tcW w:type="dxa" w:w="1656"/>
            <w:tcMar>
              <w:top w:w="100" w:type="dxa"/>
              <w:start w:w="130" w:type="dxa"/>
              <w:bottom w:w="100" w:type="dxa"/>
              <w:end w:w="130" w:type="dxa"/>
            </w:tcMar>
            <w:shd w:fill="F6F3EF"/>
            <w:vAlign w:val="center"/>
          </w:tcPr>
          <w:p>
            <w:pPr>
              <w:spacing w:after="0"/>
            </w:pPr>
            <w:r>
              <w:rPr>
                <w:rFonts w:ascii="Aptos" w:hAnsi="Aptos"/>
                <w:color w:val="252525"/>
                <w:sz w:val="16"/>
              </w:rPr>
              <w:t>Intent</w:t>
            </w:r>
          </w:p>
        </w:tc>
        <w:tc>
          <w:tcPr>
            <w:tcW w:type="dxa" w:w="3240"/>
            <w:tcMar>
              <w:top w:w="100" w:type="dxa"/>
              <w:start w:w="130" w:type="dxa"/>
              <w:bottom w:w="100" w:type="dxa"/>
              <w:end w:w="130" w:type="dxa"/>
            </w:tcMar>
            <w:shd w:fill="F6F3EF"/>
            <w:vAlign w:val="center"/>
          </w:tcPr>
          <w:p>
            <w:pPr>
              <w:spacing w:after="0"/>
            </w:pPr>
            <w:r>
              <w:rPr>
                <w:rFonts w:ascii="Aptos" w:hAnsi="Aptos"/>
                <w:color w:val="252525"/>
                <w:sz w:val="16"/>
              </w:rPr>
              <w:t>Qualified consultation leads</w:t>
            </w:r>
          </w:p>
        </w:tc>
        <w:tc>
          <w:tcPr>
            <w:tcW w:type="dxa" w:w="1656"/>
            <w:tcMar>
              <w:top w:w="100" w:type="dxa"/>
              <w:start w:w="130" w:type="dxa"/>
              <w:bottom w:w="100" w:type="dxa"/>
              <w:end w:w="130" w:type="dxa"/>
            </w:tcMar>
            <w:shd w:fill="F6F3EF"/>
            <w:vAlign w:val="center"/>
          </w:tcPr>
          <w:p>
            <w:pPr>
              <w:spacing w:after="0"/>
            </w:pPr>
            <w:r>
              <w:rPr>
                <w:rFonts w:ascii="Aptos" w:hAnsi="Aptos"/>
                <w:color w:val="252525"/>
                <w:sz w:val="16"/>
              </w:rPr>
              <w:t>15</w:t>
            </w:r>
          </w:p>
        </w:tc>
        <w:tc>
          <w:tcPr>
            <w:tcW w:type="dxa" w:w="3744"/>
            <w:tcMar>
              <w:top w:w="100" w:type="dxa"/>
              <w:start w:w="130" w:type="dxa"/>
              <w:bottom w:w="100" w:type="dxa"/>
              <w:end w:w="130" w:type="dxa"/>
            </w:tcMar>
            <w:shd w:fill="F6F3EF"/>
            <w:vAlign w:val="center"/>
          </w:tcPr>
          <w:p>
            <w:pPr>
              <w:spacing w:after="0"/>
            </w:pPr>
            <w:r>
              <w:rPr>
                <w:rFonts w:ascii="Aptos" w:hAnsi="Aptos"/>
                <w:color w:val="252525"/>
                <w:sz w:val="16"/>
              </w:rPr>
              <w:t>Booking form + CRM sheet</w:t>
            </w:r>
          </w:p>
        </w:tc>
      </w:tr>
      <w:tr>
        <w:trPr>
          <w:cantSplit/>
        </w:trPr>
        <w:tc>
          <w:tcPr>
            <w:tcW w:type="dxa" w:w="1656"/>
            <w:tcMar>
              <w:top w:w="100" w:type="dxa"/>
              <w:start w:w="130" w:type="dxa"/>
              <w:bottom w:w="100" w:type="dxa"/>
              <w:end w:w="130" w:type="dxa"/>
            </w:tcMar>
            <w:vAlign w:val="center"/>
          </w:tcPr>
          <w:p>
            <w:pPr>
              <w:spacing w:after="0"/>
            </w:pPr>
            <w:r>
              <w:rPr>
                <w:rFonts w:ascii="Aptos" w:hAnsi="Aptos"/>
                <w:color w:val="252525"/>
                <w:sz w:val="16"/>
              </w:rPr>
              <w:t>Revenue</w:t>
            </w:r>
          </w:p>
        </w:tc>
        <w:tc>
          <w:tcPr>
            <w:tcW w:type="dxa" w:w="3240"/>
            <w:tcMar>
              <w:top w:w="100" w:type="dxa"/>
              <w:start w:w="130" w:type="dxa"/>
              <w:bottom w:w="100" w:type="dxa"/>
              <w:end w:w="130" w:type="dxa"/>
            </w:tcMar>
            <w:vAlign w:val="center"/>
          </w:tcPr>
          <w:p>
            <w:pPr>
              <w:spacing w:after="0"/>
            </w:pPr>
            <w:r>
              <w:rPr>
                <w:rFonts w:ascii="Aptos" w:hAnsi="Aptos"/>
                <w:color w:val="252525"/>
                <w:sz w:val="16"/>
              </w:rPr>
              <w:t>Paid pilot clients</w:t>
            </w:r>
          </w:p>
        </w:tc>
        <w:tc>
          <w:tcPr>
            <w:tcW w:type="dxa" w:w="1656"/>
            <w:tcMar>
              <w:top w:w="100" w:type="dxa"/>
              <w:start w:w="130" w:type="dxa"/>
              <w:bottom w:w="100" w:type="dxa"/>
              <w:end w:w="130" w:type="dxa"/>
            </w:tcMar>
            <w:vAlign w:val="center"/>
          </w:tcPr>
          <w:p>
            <w:pPr>
              <w:spacing w:after="0"/>
            </w:pPr>
            <w:r>
              <w:rPr>
                <w:rFonts w:ascii="Aptos" w:hAnsi="Aptos"/>
                <w:color w:val="252525"/>
                <w:sz w:val="16"/>
              </w:rPr>
              <w:t>3</w:t>
            </w:r>
          </w:p>
        </w:tc>
        <w:tc>
          <w:tcPr>
            <w:tcW w:type="dxa" w:w="3744"/>
            <w:tcMar>
              <w:top w:w="100" w:type="dxa"/>
              <w:start w:w="130" w:type="dxa"/>
              <w:bottom w:w="100" w:type="dxa"/>
              <w:end w:w="130" w:type="dxa"/>
            </w:tcMar>
            <w:vAlign w:val="center"/>
          </w:tcPr>
          <w:p>
            <w:pPr>
              <w:spacing w:after="0"/>
            </w:pPr>
            <w:r>
              <w:rPr>
                <w:rFonts w:ascii="Aptos" w:hAnsi="Aptos"/>
                <w:color w:val="252525"/>
                <w:sz w:val="16"/>
              </w:rPr>
              <w:t>Proposal / invoice record</w:t>
            </w:r>
          </w:p>
        </w:tc>
      </w:tr>
      <w:tr>
        <w:trPr>
          <w:cantSplit/>
        </w:trPr>
        <w:tc>
          <w:tcPr>
            <w:tcW w:type="dxa" w:w="1656"/>
            <w:tcMar>
              <w:top w:w="100" w:type="dxa"/>
              <w:start w:w="130" w:type="dxa"/>
              <w:bottom w:w="100" w:type="dxa"/>
              <w:end w:w="130" w:type="dxa"/>
            </w:tcMar>
            <w:shd w:fill="F6F3EF"/>
            <w:vAlign w:val="center"/>
          </w:tcPr>
          <w:p>
            <w:pPr>
              <w:spacing w:after="0"/>
            </w:pPr>
            <w:r>
              <w:rPr>
                <w:rFonts w:ascii="Aptos" w:hAnsi="Aptos"/>
                <w:color w:val="252525"/>
                <w:sz w:val="16"/>
              </w:rPr>
              <w:t>Efficiency</w:t>
            </w:r>
          </w:p>
        </w:tc>
        <w:tc>
          <w:tcPr>
            <w:tcW w:type="dxa" w:w="3240"/>
            <w:tcMar>
              <w:top w:w="100" w:type="dxa"/>
              <w:start w:w="130" w:type="dxa"/>
              <w:bottom w:w="100" w:type="dxa"/>
              <w:end w:w="130" w:type="dxa"/>
            </w:tcMar>
            <w:shd w:fill="F6F3EF"/>
            <w:vAlign w:val="center"/>
          </w:tcPr>
          <w:p>
            <w:pPr>
              <w:spacing w:after="0"/>
            </w:pPr>
            <w:r>
              <w:rPr>
                <w:rFonts w:ascii="Aptos" w:hAnsi="Aptos"/>
                <w:color w:val="252525"/>
                <w:sz w:val="16"/>
              </w:rPr>
              <w:t>Lead-to-consultation conversion</w:t>
            </w:r>
          </w:p>
        </w:tc>
        <w:tc>
          <w:tcPr>
            <w:tcW w:type="dxa" w:w="1656"/>
            <w:tcMar>
              <w:top w:w="100" w:type="dxa"/>
              <w:start w:w="130" w:type="dxa"/>
              <w:bottom w:w="100" w:type="dxa"/>
              <w:end w:w="130" w:type="dxa"/>
            </w:tcMar>
            <w:shd w:fill="F6F3EF"/>
            <w:vAlign w:val="center"/>
          </w:tcPr>
          <w:p>
            <w:pPr>
              <w:spacing w:after="0"/>
            </w:pPr>
            <w:r>
              <w:rPr>
                <w:rFonts w:ascii="Aptos" w:hAnsi="Aptos"/>
                <w:color w:val="252525"/>
                <w:sz w:val="16"/>
              </w:rPr>
              <w:t>15% target</w:t>
            </w:r>
          </w:p>
        </w:tc>
        <w:tc>
          <w:tcPr>
            <w:tcW w:type="dxa" w:w="3744"/>
            <w:tcMar>
              <w:top w:w="100" w:type="dxa"/>
              <w:start w:w="130" w:type="dxa"/>
              <w:bottom w:w="100" w:type="dxa"/>
              <w:end w:w="130" w:type="dxa"/>
            </w:tcMar>
            <w:shd w:fill="F6F3EF"/>
            <w:vAlign w:val="center"/>
          </w:tcPr>
          <w:p>
            <w:pPr>
              <w:spacing w:after="0"/>
            </w:pPr>
            <w:r>
              <w:rPr>
                <w:rFonts w:ascii="Aptos" w:hAnsi="Aptos"/>
                <w:color w:val="252525"/>
                <w:sz w:val="16"/>
              </w:rPr>
              <w:t>Leads divided by consultations</w:t>
            </w:r>
          </w:p>
        </w:tc>
      </w:tr>
    </w:tbl>
    <w:p>
      <w:pPr>
        <w:spacing w:after="20"/>
      </w:pPr>
    </w:p>
    <w:p>
      <w:pPr>
        <w:spacing w:after="140" w:line="271" w:lineRule="auto"/>
      </w:pPr>
      <w:r>
        <w:rPr>
          <w:rFonts w:ascii="Aptos" w:hAnsi="Aptos"/>
          <w:color w:val="252525"/>
        </w:rPr>
        <w:t>Performance will be reviewed weekly. Creative hooks, landing-page conversion and channel-level lead quality will be compared. Major changes will be made only after enough data has accumulated to avoid reacting to one post. At the end of December, Yuniq will document what produced qualified conversations and use those findings to plan the next campaign.</w:t>
      </w:r>
    </w:p>
    <w:p>
      <w:pPr>
        <w:keepNext/>
        <w:spacing w:after="60"/>
      </w:pPr>
      <w:r>
        <w:rPr>
          <w:rFonts w:ascii="Aptos" w:hAnsi="Aptos"/>
          <w:b/>
          <w:color w:val="18324A"/>
          <w:sz w:val="18"/>
        </w:rPr>
        <w:t>RECOMMENDATION</w:t>
      </w:r>
    </w:p>
    <w:p>
      <w:pPr>
        <w:pStyle w:val="Heading1"/>
      </w:pPr>
      <w:r>
        <w:t>7. Conclusion</w:t>
      </w:r>
    </w:p>
    <w:p>
      <w:pPr>
        <w:spacing w:after="140" w:line="271" w:lineRule="auto"/>
      </w:pPr>
      <w:r>
        <w:rPr>
          <w:rFonts w:ascii="Aptos" w:hAnsi="Aptos"/>
          <w:color w:val="252525"/>
        </w:rPr>
        <w:t>The Beyond One Community campaign gives Yuniq a focused and achievable route from awareness to revenue. It is designed around a specific Calgary small-business persona, a clear acquisition objective and a practical channel mix that respects a founder-led budget. Social platforms create discovery, the scorecard captures permission, email builds trust, and the Visibility Check creates a direct path to a paid pilot.</w:t>
      </w:r>
    </w:p>
    <w:p>
      <w:pPr>
        <w:spacing w:after="140" w:line="271" w:lineRule="auto"/>
      </w:pPr>
      <w:r>
        <w:rPr>
          <w:rFonts w:ascii="Aptos" w:hAnsi="Aptos"/>
          <w:color w:val="252525"/>
        </w:rPr>
        <w:t>The plan also positions Yuniq clearly against larger competitors. URBA offers powerful local media reach and Full Blast Creative offers full-service depth; Yuniq offers an accessible combination of bilingual cultural insight, creator-style execution and measurable follow-through. This narrow position is credible for an emerging brand and relevant to owners who need help reaching beyond an existing community without becoming generic.</w:t>
      </w:r>
    </w:p>
    <w:p>
      <w:pPr>
        <w:spacing w:after="140" w:line="271" w:lineRule="auto"/>
      </w:pPr>
      <w:r>
        <w:rPr>
          <w:rFonts w:ascii="Aptos" w:hAnsi="Aptos"/>
          <w:color w:val="252525"/>
        </w:rPr>
        <w:t>Success will be judged by qualified leads and paid pilot conversions, not vanity metrics alone. If the campaign reaches 15 qualified consultations and converts 3 pilot clients by December 31, Yuniq will have met its primary objective while also building reusable content, an email audience and a measurement baseline for future growth.</w:t>
      </w:r>
    </w:p>
    <w:tbl>
      <w:tblPr>
        <w:tblW w:type="auto" w:w="0"/>
        <w:jc w:val="center"/>
        <w:tblLayout w:type="fixed"/>
        <w:tblLook w:firstColumn="1" w:firstRow="1" w:lastColumn="0" w:lastRow="0" w:noHBand="0" w:noVBand="1" w:val="04A0"/>
      </w:tblPr>
      <w:tblGrid>
        <w:gridCol w:w="9878"/>
      </w:tblGrid>
      <w:tr>
        <w:trPr>
          <w:cantSplit/>
        </w:trPr>
        <w:tc>
          <w:tcPr>
            <w:tcW w:type="dxa" w:w="9360"/>
            <w:shd w:fill="FFF9CF"/>
            <w:tcMar>
              <w:top w:w="170" w:type="dxa"/>
              <w:start w:w="200" w:type="dxa"/>
              <w:bottom w:w="170" w:type="dxa"/>
              <w:end w:w="200" w:type="dxa"/>
            </w:tcMar>
          </w:tcPr>
          <w:p>
            <w:pPr>
              <w:spacing w:after="100"/>
            </w:pPr>
            <w:r>
              <w:rPr>
                <w:rFonts w:ascii="Aptos" w:hAnsi="Aptos"/>
                <w:b/>
                <w:color w:val="18324A"/>
                <w:sz w:val="22"/>
              </w:rPr>
              <w:t>FINAL RECOMMENDATION</w:t>
            </w:r>
          </w:p>
          <w:p>
            <w:pPr>
              <w:spacing w:after="0"/>
            </w:pPr>
            <w:r>
              <w:rPr>
                <w:rFonts w:ascii="Aptos" w:hAnsi="Aptos"/>
                <w:color w:val="252525"/>
                <w:sz w:val="20"/>
              </w:rPr>
              <w:t>Launch the scorecard, landing page and first four weeks of content before turning on paid retargeting. This ensures the customer journey works organically and gives the paid budget a stronger destination.</w:t>
            </w:r>
          </w:p>
        </w:tc>
      </w:tr>
    </w:tbl>
    <w:p>
      <w:pPr>
        <w:spacing w:after="40"/>
      </w:pPr>
    </w:p>
    <w:sectPr w:rsidR="00FC693F" w:rsidRPr="0006063C" w:rsidSect="00034616">
      <w:headerReference w:type="default" r:id="rId9"/>
      <w:footerReference w:type="default" r:id="rId10"/>
      <w:pgSz w:w="12240" w:h="15840"/>
      <w:pgMar w:top="1037" w:right="1181" w:bottom="979"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8A8580"/>
        <w:sz w:val="16"/>
      </w:rPr>
      <w:t xml:space="preserve">YUNIQ DIGITAL MARKETING PLAN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18324A"/>
        <w:sz w:val="16"/>
      </w:rPr>
      <w:t>YUNIQ  /  GROW YOUR BRAND BEYOND ONE COMMUNITY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5252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18324A"/>
      <w:sz w:val="4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18324A"/>
      <w:sz w:val="28"/>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ptos Display" w:hAnsi="Aptos Display"/>
      <w:b/>
      <w:bCs/>
      <w:color w:val="1832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ptos Display" w:hAnsi="Aptos Display"/>
      <w:b/>
      <w:color w:val="18324A"/>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urba.media/" TargetMode="External"/><Relationship Id="rId12" Type="http://schemas.openxmlformats.org/officeDocument/2006/relationships/hyperlink" Target="https://fullblastcreative.ca/" TargetMode="External"/><Relationship Id="rId13" Type="http://schemas.openxmlformats.org/officeDocument/2006/relationships/hyperlink" Target="https://fullblastcreative.ca/creative-solutions/marketing/social-media-marketing/"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Yuniq Digital Marketing Plan</dc:title>
  <dc:subject>Three-Month Client Acquisition Campaign</dc:subject>
  <dc:creator>Yunjing (Hannah) Zhang</dc:creator>
  <cp:keywords>digital marketing plan, Yuniq, Calgary, acquisition, social media</cp:keywords>
  <dc:description>generated by python-docx</dc:description>
  <cp:lastModifiedBy/>
  <cp:revision>1</cp:revision>
  <dcterms:created xsi:type="dcterms:W3CDTF">2013-12-23T23:15:00Z</dcterms:created>
  <dcterms:modified xsi:type="dcterms:W3CDTF">2013-12-23T23:15:00Z</dcterms:modified>
  <cp:category/>
</cp:coreProperties>
</file>