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spacing w:before="1440"/>
        <w:jc w:val="center"/>
        <w:shd w:fill="F2E94E"/>
      </w:pPr>
      <w:r>
        <w:rPr>
          <w:rFonts w:ascii="Aptos Display" w:hAnsi="Aptos Display"/>
          <w:b/>
          <w:i w:val="0"/>
          <w:color w:val="333F4F"/>
          <w:sz w:val="56"/>
        </w:rPr>
        <w:t>YUNIQ</w:t>
      </w:r>
    </w:p>
    <w:p>
      <w:pPr>
        <w:spacing w:before="1080" w:after="200"/>
        <w:jc w:val="center"/>
      </w:pPr>
      <w:r>
        <w:rPr>
          <w:rFonts w:ascii="Aptos Display" w:hAnsi="Aptos Display"/>
          <w:b/>
          <w:i w:val="0"/>
          <w:color w:val="333F4F"/>
          <w:sz w:val="54"/>
        </w:rPr>
        <w:t>Social Media Marketing Plan</w:t>
      </w:r>
    </w:p>
    <w:p>
      <w:pPr>
        <w:jc w:val="center"/>
      </w:pPr>
      <w:r>
        <w:rPr>
          <w:rFonts w:ascii="Aptos" w:hAnsi="Aptos"/>
          <w:b/>
          <w:i w:val="0"/>
          <w:color w:val="008C95"/>
          <w:sz w:val="24"/>
        </w:rPr>
        <w:t>September 2026 | Calgary, Alberta</w:t>
      </w:r>
    </w:p>
    <w:p>
      <w:pPr>
        <w:spacing w:before="1600"/>
        <w:jc w:val="center"/>
      </w:pPr>
      <w:r>
        <w:rPr>
          <w:rFonts w:ascii="Aptos" w:hAnsi="Aptos"/>
          <w:b w:val="0"/>
          <w:i w:val="0"/>
          <w:color w:val="333F4F"/>
          <w:sz w:val="22"/>
        </w:rPr>
        <w:t>Prepared by Yunjing (Hannah) Zhang</w:t>
      </w:r>
    </w:p>
    <w:p>
      <w:pPr>
        <w:jc w:val="center"/>
      </w:pPr>
      <w:r>
        <w:rPr>
          <w:rFonts w:ascii="Aptos" w:hAnsi="Aptos"/>
          <w:b w:val="0"/>
          <w:i w:val="0"/>
          <w:color w:val="6B7280"/>
          <w:sz w:val="20"/>
        </w:rPr>
        <w:t>September 7, 2026</w:t>
      </w:r>
    </w:p>
    <w:p>
      <w:pPr>
        <w:spacing w:before="2600"/>
        <w:jc w:val="center"/>
      </w:pPr>
      <w:r>
        <w:rPr>
          <w:rFonts w:ascii="Aptos" w:hAnsi="Aptos"/>
          <w:b w:val="0"/>
          <w:i/>
          <w:color w:val="333F4F"/>
          <w:sz w:val="22"/>
        </w:rPr>
        <w:t>Grow your brand beyond one community.</w:t>
      </w:r>
    </w:p>
    <w:p>
      <w:r>
        <w:br w:type="page"/>
      </w:r>
    </w:p>
    <w:p>
      <w:pPr>
        <w:pStyle w:val="Heading1"/>
        <w:keepNext/>
        <w:spacing w:before="240" w:after="100" w:line="259" w:lineRule="auto"/>
        <w:shd w:fill="FFFBEA"/>
      </w:pPr>
      <w:r>
        <w:rPr>
          <w:rFonts w:ascii="Aptos" w:hAnsi="Aptos"/>
          <w:b/>
          <w:i w:val="0"/>
          <w:color w:val="333F4F"/>
          <w:sz w:val="32"/>
        </w:rPr>
        <w:t>1. Executive Summary</w:t>
      </w:r>
    </w:p>
    <w:p>
      <w:pPr>
        <w:spacing w:before="0" w:after="120" w:line="259" w:lineRule="auto"/>
      </w:pPr>
      <w:r>
        <w:rPr>
          <w:rFonts w:ascii="Aptos" w:hAnsi="Aptos"/>
          <w:b w:val="0"/>
          <w:i w:val="0"/>
          <w:color w:val="333F4F"/>
          <w:sz w:val="21"/>
        </w:rPr>
        <w:t>Yuniq is a Calgary-based creator-commerce and digital marketing brand that helps local businesses connect with both English-speaking and Chinese-speaking communities. Its main challenge is low brand awareness as a new service brand, combined with the need to prove that bilingual content can generate measurable business value rather than simply translate existing posts.</w:t>
      </w:r>
    </w:p>
    <w:p>
      <w:pPr>
        <w:spacing w:before="0" w:after="120" w:line="259" w:lineRule="auto"/>
      </w:pPr>
      <w:r>
        <w:rPr>
          <w:rFonts w:ascii="Aptos" w:hAnsi="Aptos"/>
          <w:b w:val="0"/>
          <w:i w:val="0"/>
          <w:color w:val="333F4F"/>
          <w:sz w:val="21"/>
        </w:rPr>
        <w:t>This plan uses a bilingual, local-first content system across Instagram, TikTok, LinkedIn, Facebook, and Rednote. Educational content will build authority; Calgary-focused content will improve local relevance; case studies will demonstrate results; and behind-the-scenes stories will make the brand feel human. During September 2026, Yuniq will publish 16 core posts, repurpose the strongest ideas across platforms, and test a small Meta campaign.</w:t>
      </w:r>
    </w:p>
    <w:p>
      <w:pPr>
        <w:spacing w:before="0" w:after="120" w:line="259" w:lineRule="auto"/>
      </w:pPr>
      <w:r>
        <w:rPr>
          <w:rFonts w:ascii="Aptos" w:hAnsi="Aptos"/>
          <w:b/>
          <w:i w:val="0"/>
          <w:color w:val="333F4F"/>
          <w:sz w:val="21"/>
        </w:rPr>
        <w:t>Expected outcomes:</w:t>
      </w:r>
      <w:r>
        <w:rPr>
          <w:rFonts w:ascii="Aptos" w:hAnsi="Aptos"/>
          <w:b w:val="0"/>
          <w:i w:val="0"/>
          <w:color w:val="333F4F"/>
          <w:sz w:val="21"/>
        </w:rPr>
        <w:t xml:space="preserve"> a consistent brand message, stronger reach among Calgary business owners, more portfolio visits, and at least five qualified inquiries by September 30, 2026.</w:t>
      </w:r>
    </w:p>
    <w:p>
      <w:pPr>
        <w:pStyle w:val="Heading1"/>
        <w:keepNext/>
        <w:spacing w:before="240" w:after="100" w:line="259" w:lineRule="auto"/>
        <w:shd w:fill="FFFBEA"/>
      </w:pPr>
      <w:r>
        <w:rPr>
          <w:rFonts w:ascii="Aptos" w:hAnsi="Aptos"/>
          <w:b/>
          <w:i w:val="0"/>
          <w:color w:val="333F4F"/>
          <w:sz w:val="32"/>
        </w:rPr>
        <w:t>2. Business and Marketing Goals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3331"/>
        <w:gridCol w:w="3331"/>
        <w:gridCol w:w="3331"/>
      </w:tblGrid>
      <w:tr>
        <w:trPr>
          <w:tblHeader w:val="true"/>
          <w:cantSplit/>
        </w:trPr>
        <w:tc>
          <w:tcPr>
            <w:tcW w:type="dxa" w:w="2880"/>
            <w:shd w:fill="333F4F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SMART goal</w:t>
            </w:r>
          </w:p>
        </w:tc>
        <w:tc>
          <w:tcPr>
            <w:tcW w:type="dxa" w:w="3456"/>
            <w:shd w:fill="333F4F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September 2026 target</w:t>
            </w:r>
          </w:p>
        </w:tc>
        <w:tc>
          <w:tcPr>
            <w:tcW w:type="dxa" w:w="2880"/>
            <w:shd w:fill="333F4F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Business value</w:t>
            </w:r>
          </w:p>
        </w:tc>
      </w:tr>
      <w:tr>
        <w:trPr>
          <w:cantSplit/>
        </w:trPr>
        <w:tc>
          <w:tcPr>
            <w:tcW w:type="dxa" w:w="2880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before="0" w:after="0" w:line="245" w:lineRule="auto"/>
            </w:pPr>
            <w:r>
              <w:rPr>
                <w:rFonts w:ascii="Aptos" w:hAnsi="Aptos"/>
                <w:b w:val="0"/>
                <w:i w:val="0"/>
                <w:color w:val="333F4F"/>
                <w:sz w:val="17"/>
              </w:rPr>
              <w:t>Build awareness</w:t>
            </w:r>
          </w:p>
        </w:tc>
        <w:tc>
          <w:tcPr>
            <w:tcW w:type="dxa" w:w="345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before="0" w:after="0" w:line="245" w:lineRule="auto"/>
            </w:pPr>
            <w:r>
              <w:rPr>
                <w:rFonts w:ascii="Aptos" w:hAnsi="Aptos"/>
                <w:b w:val="0"/>
                <w:i w:val="0"/>
                <w:color w:val="333F4F"/>
                <w:sz w:val="17"/>
              </w:rPr>
              <w:t>Increase total monthly reach by 15% versus August 2026.</w:t>
            </w:r>
          </w:p>
        </w:tc>
        <w:tc>
          <w:tcPr>
            <w:tcW w:type="dxa" w:w="2880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before="0" w:after="0" w:line="245" w:lineRule="auto"/>
            </w:pPr>
            <w:r>
              <w:rPr>
                <w:rFonts w:ascii="Aptos" w:hAnsi="Aptos"/>
                <w:b w:val="0"/>
                <w:i w:val="0"/>
                <w:color w:val="333F4F"/>
                <w:sz w:val="17"/>
              </w:rPr>
              <w:t>More Calgary prospects discover Yuniq.</w:t>
            </w:r>
          </w:p>
        </w:tc>
      </w:tr>
      <w:tr>
        <w:trPr>
          <w:cantSplit/>
        </w:trPr>
        <w:tc>
          <w:tcPr>
            <w:tcW w:type="dxa" w:w="2880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8FAFC"/>
          </w:tcPr>
          <w:p>
            <w:pPr>
              <w:spacing w:before="0" w:after="0" w:line="245" w:lineRule="auto"/>
            </w:pPr>
            <w:r>
              <w:rPr>
                <w:rFonts w:ascii="Aptos" w:hAnsi="Aptos"/>
                <w:b w:val="0"/>
                <w:i w:val="0"/>
                <w:color w:val="333F4F"/>
                <w:sz w:val="17"/>
              </w:rPr>
              <w:t>Grow engagement</w:t>
            </w:r>
          </w:p>
        </w:tc>
        <w:tc>
          <w:tcPr>
            <w:tcW w:type="dxa" w:w="345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8FAFC"/>
          </w:tcPr>
          <w:p>
            <w:pPr>
              <w:spacing w:before="0" w:after="0" w:line="245" w:lineRule="auto"/>
            </w:pPr>
            <w:r>
              <w:rPr>
                <w:rFonts w:ascii="Aptos" w:hAnsi="Aptos"/>
                <w:b w:val="0"/>
                <w:i w:val="0"/>
                <w:color w:val="333F4F"/>
                <w:sz w:val="17"/>
              </w:rPr>
              <w:t>Achieve at least 5% Instagram engagement by reach and 20 total saves/shares.</w:t>
            </w:r>
          </w:p>
        </w:tc>
        <w:tc>
          <w:tcPr>
            <w:tcW w:type="dxa" w:w="2880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8FAFC"/>
          </w:tcPr>
          <w:p>
            <w:pPr>
              <w:spacing w:before="0" w:after="0" w:line="245" w:lineRule="auto"/>
            </w:pPr>
            <w:r>
              <w:rPr>
                <w:rFonts w:ascii="Aptos" w:hAnsi="Aptos"/>
                <w:b w:val="0"/>
                <w:i w:val="0"/>
                <w:color w:val="333F4F"/>
                <w:sz w:val="17"/>
              </w:rPr>
              <w:t>Signals that content is useful and memorable.</w:t>
            </w:r>
          </w:p>
        </w:tc>
      </w:tr>
      <w:tr>
        <w:trPr>
          <w:cantSplit/>
        </w:trPr>
        <w:tc>
          <w:tcPr>
            <w:tcW w:type="dxa" w:w="2880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before="0" w:after="0" w:line="245" w:lineRule="auto"/>
            </w:pPr>
            <w:r>
              <w:rPr>
                <w:rFonts w:ascii="Aptos" w:hAnsi="Aptos"/>
                <w:b w:val="0"/>
                <w:i w:val="0"/>
                <w:color w:val="333F4F"/>
                <w:sz w:val="17"/>
              </w:rPr>
              <w:t>Drive website interest</w:t>
            </w:r>
          </w:p>
        </w:tc>
        <w:tc>
          <w:tcPr>
            <w:tcW w:type="dxa" w:w="345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before="0" w:after="0" w:line="245" w:lineRule="auto"/>
            </w:pPr>
            <w:r>
              <w:rPr>
                <w:rFonts w:ascii="Aptos" w:hAnsi="Aptos"/>
                <w:b w:val="0"/>
                <w:i w:val="0"/>
                <w:color w:val="333F4F"/>
                <w:sz w:val="17"/>
              </w:rPr>
              <w:t>Generate 100 portfolio visits from tagged social links by September 30.</w:t>
            </w:r>
          </w:p>
        </w:tc>
        <w:tc>
          <w:tcPr>
            <w:tcW w:type="dxa" w:w="2880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before="0" w:after="0" w:line="245" w:lineRule="auto"/>
            </w:pPr>
            <w:r>
              <w:rPr>
                <w:rFonts w:ascii="Aptos" w:hAnsi="Aptos"/>
                <w:b w:val="0"/>
                <w:i w:val="0"/>
                <w:color w:val="333F4F"/>
                <w:sz w:val="17"/>
              </w:rPr>
              <w:t>Moves audiences from content to proof of work.</w:t>
            </w:r>
          </w:p>
        </w:tc>
      </w:tr>
      <w:tr>
        <w:trPr>
          <w:cantSplit/>
        </w:trPr>
        <w:tc>
          <w:tcPr>
            <w:tcW w:type="dxa" w:w="2880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8FAFC"/>
          </w:tcPr>
          <w:p>
            <w:pPr>
              <w:spacing w:before="0" w:after="0" w:line="245" w:lineRule="auto"/>
            </w:pPr>
            <w:r>
              <w:rPr>
                <w:rFonts w:ascii="Aptos" w:hAnsi="Aptos"/>
                <w:b w:val="0"/>
                <w:i w:val="0"/>
                <w:color w:val="333F4F"/>
                <w:sz w:val="17"/>
              </w:rPr>
              <w:t>Generate leads</w:t>
            </w:r>
          </w:p>
        </w:tc>
        <w:tc>
          <w:tcPr>
            <w:tcW w:type="dxa" w:w="345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8FAFC"/>
          </w:tcPr>
          <w:p>
            <w:pPr>
              <w:spacing w:before="0" w:after="0" w:line="245" w:lineRule="auto"/>
            </w:pPr>
            <w:r>
              <w:rPr>
                <w:rFonts w:ascii="Aptos" w:hAnsi="Aptos"/>
                <w:b w:val="0"/>
                <w:i w:val="0"/>
                <w:color w:val="333F4F"/>
                <w:sz w:val="17"/>
              </w:rPr>
              <w:t>Receive at least 5 qualified inquiries and book 2 discovery calls.</w:t>
            </w:r>
          </w:p>
        </w:tc>
        <w:tc>
          <w:tcPr>
            <w:tcW w:type="dxa" w:w="2880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8FAFC"/>
          </w:tcPr>
          <w:p>
            <w:pPr>
              <w:spacing w:before="0" w:after="0" w:line="245" w:lineRule="auto"/>
            </w:pPr>
            <w:r>
              <w:rPr>
                <w:rFonts w:ascii="Aptos" w:hAnsi="Aptos"/>
                <w:b w:val="0"/>
                <w:i w:val="0"/>
                <w:color w:val="333F4F"/>
                <w:sz w:val="17"/>
              </w:rPr>
              <w:t>Creates a measurable path to new clients.</w:t>
            </w:r>
          </w:p>
        </w:tc>
      </w:tr>
      <w:tr>
        <w:trPr>
          <w:cantSplit/>
        </w:trPr>
        <w:tc>
          <w:tcPr>
            <w:tcW w:type="dxa" w:w="2880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before="0" w:after="0" w:line="245" w:lineRule="auto"/>
            </w:pPr>
            <w:r>
              <w:rPr>
                <w:rFonts w:ascii="Aptos" w:hAnsi="Aptos"/>
                <w:b w:val="0"/>
                <w:i w:val="0"/>
                <w:color w:val="333F4F"/>
                <w:sz w:val="17"/>
              </w:rPr>
              <w:t>Build consistency</w:t>
            </w:r>
          </w:p>
        </w:tc>
        <w:tc>
          <w:tcPr>
            <w:tcW w:type="dxa" w:w="345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before="0" w:after="0" w:line="245" w:lineRule="auto"/>
            </w:pPr>
            <w:r>
              <w:rPr>
                <w:rFonts w:ascii="Aptos" w:hAnsi="Aptos"/>
                <w:b w:val="0"/>
                <w:i w:val="0"/>
                <w:color w:val="333F4F"/>
                <w:sz w:val="17"/>
              </w:rPr>
              <w:t>Publish 16 core posts and maintain the planned weekly cadence.</w:t>
            </w:r>
          </w:p>
        </w:tc>
        <w:tc>
          <w:tcPr>
            <w:tcW w:type="dxa" w:w="2880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before="0" w:after="0" w:line="245" w:lineRule="auto"/>
            </w:pPr>
            <w:r>
              <w:rPr>
                <w:rFonts w:ascii="Aptos" w:hAnsi="Aptos"/>
                <w:b w:val="0"/>
                <w:i w:val="0"/>
                <w:color w:val="333F4F"/>
                <w:sz w:val="17"/>
              </w:rPr>
              <w:t>Creates a repeatable marketing process.</w:t>
            </w:r>
          </w:p>
        </w:tc>
      </w:tr>
    </w:tbl>
    <w:p>
      <w:pPr>
        <w:spacing w:after="20"/>
      </w:pPr>
    </w:p>
    <w:p>
      <w:pPr>
        <w:pStyle w:val="Heading1"/>
        <w:keepNext/>
        <w:spacing w:before="240" w:after="100" w:line="259" w:lineRule="auto"/>
        <w:shd w:fill="FFFBEA"/>
      </w:pPr>
      <w:r>
        <w:rPr>
          <w:rFonts w:ascii="Aptos" w:hAnsi="Aptos"/>
          <w:b/>
          <w:i w:val="0"/>
          <w:color w:val="333F4F"/>
          <w:sz w:val="32"/>
        </w:rPr>
        <w:t>3. Target Audience and Personas</w:t>
      </w:r>
    </w:p>
    <w:p>
      <w:pPr>
        <w:pStyle w:val="Heading2"/>
        <w:keepNext/>
        <w:spacing w:before="160" w:after="100" w:line="259" w:lineRule="auto"/>
      </w:pPr>
      <w:r>
        <w:rPr>
          <w:rFonts w:ascii="Aptos" w:hAnsi="Aptos"/>
          <w:b/>
          <w:i w:val="0"/>
          <w:color w:val="333F4F"/>
          <w:sz w:val="24"/>
        </w:rPr>
        <w:t>Primary persona: David Wong, local business owner</w:t>
      </w:r>
    </w:p>
    <w:p>
      <w:pPr>
        <w:pStyle w:val="ListParagraph"/>
        <w:numPr>
          <w:ilvl w:val="0"/>
          <w:numId w:val="4"/>
        </w:numPr>
        <w:spacing w:before="0" w:after="60" w:line="259" w:lineRule="auto"/>
      </w:pPr>
      <w:r>
        <w:rPr>
          <w:rFonts w:ascii="Aptos" w:hAnsi="Aptos"/>
          <w:b w:val="0"/>
          <w:i w:val="0"/>
          <w:color w:val="333F4F"/>
          <w:sz w:val="21"/>
        </w:rPr>
        <w:t>Age 35-50; owns or manages a restaurant, retail shop, wellness, tourism, or professional-service business in Calgary.</w:t>
      </w:r>
    </w:p>
    <w:p>
      <w:pPr>
        <w:pStyle w:val="ListParagraph"/>
        <w:numPr>
          <w:ilvl w:val="0"/>
          <w:numId w:val="4"/>
        </w:numPr>
        <w:spacing w:before="0" w:after="60" w:line="259" w:lineRule="auto"/>
      </w:pPr>
      <w:r>
        <w:rPr>
          <w:rFonts w:ascii="Aptos" w:hAnsi="Aptos"/>
          <w:b w:val="0"/>
          <w:i w:val="0"/>
          <w:color w:val="333F4F"/>
          <w:sz w:val="21"/>
        </w:rPr>
        <w:t>Often serves a multicultural customer base and may speak Mandarin or Cantonese in addition to English.</w:t>
      </w:r>
    </w:p>
    <w:p>
      <w:pPr>
        <w:pStyle w:val="ListParagraph"/>
        <w:numPr>
          <w:ilvl w:val="0"/>
          <w:numId w:val="4"/>
        </w:numPr>
        <w:spacing w:before="0" w:after="60" w:line="259" w:lineRule="auto"/>
      </w:pPr>
      <w:r>
        <w:rPr>
          <w:rFonts w:ascii="Aptos" w:hAnsi="Aptos"/>
          <w:b w:val="0"/>
          <w:i w:val="0"/>
          <w:color w:val="333F4F"/>
          <w:sz w:val="21"/>
        </w:rPr>
        <w:t>Wants more awareness, foot traffic, bookings, or leads but has limited time to create content.</w:t>
      </w:r>
    </w:p>
    <w:p>
      <w:pPr>
        <w:pStyle w:val="ListParagraph"/>
        <w:numPr>
          <w:ilvl w:val="0"/>
          <w:numId w:val="4"/>
        </w:numPr>
        <w:spacing w:before="0" w:after="60" w:line="259" w:lineRule="auto"/>
      </w:pPr>
      <w:r>
        <w:rPr>
          <w:rFonts w:ascii="Aptos" w:hAnsi="Aptos"/>
          <w:b w:val="0"/>
          <w:i w:val="0"/>
          <w:color w:val="333F4F"/>
          <w:sz w:val="21"/>
        </w:rPr>
        <w:t>Pain points: uncertain return on social media, inconsistent posting, language barriers, and difficulty choosing creators or platforms.</w:t>
      </w:r>
    </w:p>
    <w:p>
      <w:pPr>
        <w:pStyle w:val="ListParagraph"/>
        <w:numPr>
          <w:ilvl w:val="0"/>
          <w:numId w:val="4"/>
        </w:numPr>
        <w:spacing w:before="0" w:after="60" w:line="259" w:lineRule="auto"/>
      </w:pPr>
      <w:r>
        <w:rPr>
          <w:rFonts w:ascii="Aptos" w:hAnsi="Aptos"/>
          <w:b w:val="0"/>
          <w:i w:val="0"/>
          <w:color w:val="333F4F"/>
          <w:sz w:val="21"/>
        </w:rPr>
        <w:t>Needs: clear packages, local examples, practical advice, transparent reporting, and content that works across communities.</w:t>
      </w:r>
    </w:p>
    <w:p>
      <w:pPr>
        <w:pStyle w:val="ListParagraph"/>
        <w:numPr>
          <w:ilvl w:val="0"/>
          <w:numId w:val="4"/>
        </w:numPr>
        <w:spacing w:before="0" w:after="60" w:line="259" w:lineRule="auto"/>
      </w:pPr>
      <w:r>
        <w:rPr>
          <w:rFonts w:ascii="Aptos" w:hAnsi="Aptos"/>
          <w:b w:val="0"/>
          <w:i w:val="0"/>
          <w:color w:val="333F4F"/>
          <w:sz w:val="21"/>
        </w:rPr>
        <w:t>Uses Facebook and Instagram for local discovery, LinkedIn for professional credibility, and Rednote to understand Chinese consumer conversations.</w:t>
      </w:r>
    </w:p>
    <w:p>
      <w:pPr>
        <w:pStyle w:val="Heading2"/>
        <w:keepNext/>
        <w:spacing w:before="160" w:after="100" w:line="259" w:lineRule="auto"/>
      </w:pPr>
      <w:r>
        <w:rPr>
          <w:rFonts w:ascii="Aptos" w:hAnsi="Aptos"/>
          <w:b/>
          <w:i w:val="0"/>
          <w:color w:val="333F4F"/>
          <w:sz w:val="24"/>
        </w:rPr>
        <w:t>Secondary persona: Maya Chen, discovery-driven customer</w:t>
      </w:r>
    </w:p>
    <w:p>
      <w:pPr>
        <w:pStyle w:val="ListParagraph"/>
        <w:numPr>
          <w:ilvl w:val="0"/>
          <w:numId w:val="4"/>
        </w:numPr>
        <w:spacing w:before="0" w:after="60" w:line="259" w:lineRule="auto"/>
      </w:pPr>
      <w:r>
        <w:rPr>
          <w:rFonts w:ascii="Aptos" w:hAnsi="Aptos"/>
          <w:b w:val="0"/>
          <w:i w:val="0"/>
          <w:color w:val="333F4F"/>
          <w:sz w:val="21"/>
        </w:rPr>
        <w:t>Age 22-38; a Calgary resident, newcomer, student, or young professional who actively discovers restaurants, events, and services online.</w:t>
      </w:r>
    </w:p>
    <w:p>
      <w:pPr>
        <w:pStyle w:val="ListParagraph"/>
        <w:numPr>
          <w:ilvl w:val="0"/>
          <w:numId w:val="4"/>
        </w:numPr>
        <w:spacing w:before="0" w:after="60" w:line="259" w:lineRule="auto"/>
      </w:pPr>
      <w:r>
        <w:rPr>
          <w:rFonts w:ascii="Aptos" w:hAnsi="Aptos"/>
          <w:b w:val="0"/>
          <w:i w:val="0"/>
          <w:color w:val="333F4F"/>
          <w:sz w:val="21"/>
        </w:rPr>
        <w:t>Values authentic visuals, concise recommendations, cultural relevance, and practical local information.</w:t>
      </w:r>
    </w:p>
    <w:p>
      <w:pPr>
        <w:pStyle w:val="ListParagraph"/>
        <w:numPr>
          <w:ilvl w:val="0"/>
          <w:numId w:val="4"/>
        </w:numPr>
        <w:spacing w:before="0" w:after="60" w:line="259" w:lineRule="auto"/>
      </w:pPr>
      <w:r>
        <w:rPr>
          <w:rFonts w:ascii="Aptos" w:hAnsi="Aptos"/>
          <w:b w:val="0"/>
          <w:i w:val="0"/>
          <w:color w:val="333F4F"/>
          <w:sz w:val="21"/>
        </w:rPr>
        <w:t>Uses Instagram, TikTok, and Rednote for search and discovery; often saves posts, shares recommendations, and checks reviews before visiting.</w:t>
      </w:r>
    </w:p>
    <w:p>
      <w:pPr>
        <w:spacing w:before="0" w:after="120" w:line="259" w:lineRule="auto"/>
      </w:pPr>
      <w:r>
        <w:rPr>
          <w:rFonts w:ascii="Aptos" w:hAnsi="Aptos"/>
          <w:b w:val="0"/>
          <w:i w:val="0"/>
          <w:color w:val="333F4F"/>
          <w:sz w:val="21"/>
        </w:rPr>
        <w:t>Canadian context: Statistics Canada reports that about nine in ten people aged 34 and younger are regular social media users; usage remains substantial among ages 50-64. This supports a mixed-platform approach rather than a youth-only strategy. [1]</w:t>
      </w:r>
    </w:p>
    <w:p>
      <w:pPr>
        <w:pStyle w:val="Heading1"/>
        <w:keepNext/>
        <w:spacing w:before="240" w:after="100" w:line="259" w:lineRule="auto"/>
        <w:shd w:fill="FFFBEA"/>
      </w:pPr>
      <w:r>
        <w:rPr>
          <w:rFonts w:ascii="Aptos" w:hAnsi="Aptos"/>
          <w:b/>
          <w:i w:val="0"/>
          <w:color w:val="333F4F"/>
          <w:sz w:val="32"/>
        </w:rPr>
        <w:t>4. Platform Selection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3331"/>
        <w:gridCol w:w="3331"/>
        <w:gridCol w:w="3331"/>
      </w:tblGrid>
      <w:tr>
        <w:trPr>
          <w:tblHeader w:val="true"/>
          <w:cantSplit/>
        </w:trPr>
        <w:tc>
          <w:tcPr>
            <w:tcW w:type="dxa" w:w="1440"/>
            <w:shd w:fill="333F4F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Platform</w:t>
            </w:r>
          </w:p>
        </w:tc>
        <w:tc>
          <w:tcPr>
            <w:tcW w:type="dxa" w:w="3744"/>
            <w:shd w:fill="333F4F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Audience evidence</w:t>
            </w:r>
          </w:p>
        </w:tc>
        <w:tc>
          <w:tcPr>
            <w:tcW w:type="dxa" w:w="4032"/>
            <w:shd w:fill="333F4F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Role for Yuniq</w:t>
            </w:r>
          </w:p>
        </w:tc>
      </w:tr>
      <w:tr>
        <w:trPr>
          <w:cantSplit/>
        </w:trPr>
        <w:tc>
          <w:tcPr>
            <w:tcW w:type="dxa" w:w="1440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before="0" w:after="0" w:line="245" w:lineRule="auto"/>
            </w:pPr>
            <w:r>
              <w:rPr>
                <w:rFonts w:ascii="Aptos" w:hAnsi="Aptos"/>
                <w:b w:val="0"/>
                <w:i w:val="0"/>
                <w:color w:val="333F4F"/>
                <w:sz w:val="17"/>
              </w:rPr>
              <w:t>Instagram</w:t>
            </w:r>
          </w:p>
        </w:tc>
        <w:tc>
          <w:tcPr>
            <w:tcW w:type="dxa" w:w="374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before="0" w:after="0" w:line="245" w:lineRule="auto"/>
            </w:pPr>
            <w:r>
              <w:rPr>
                <w:rFonts w:ascii="Aptos" w:hAnsi="Aptos"/>
                <w:b w:val="0"/>
                <w:i w:val="0"/>
                <w:color w:val="333F4F"/>
                <w:sz w:val="17"/>
              </w:rPr>
              <w:t>21.0 million users in Canada in late 2025; strongest fit with younger adults and visual discovery. [2][3]</w:t>
            </w:r>
          </w:p>
        </w:tc>
        <w:tc>
          <w:tcPr>
            <w:tcW w:type="dxa" w:w="403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before="0" w:after="0" w:line="245" w:lineRule="auto"/>
            </w:pPr>
            <w:r>
              <w:rPr>
                <w:rFonts w:ascii="Aptos" w:hAnsi="Aptos"/>
                <w:b w:val="0"/>
                <w:i w:val="0"/>
                <w:color w:val="333F4F"/>
                <w:sz w:val="17"/>
              </w:rPr>
              <w:t>Portfolio visuals, Reels, carousels, local discovery, saves, and direct messages.</w:t>
            </w:r>
          </w:p>
        </w:tc>
      </w:tr>
      <w:tr>
        <w:trPr>
          <w:cantSplit/>
        </w:trPr>
        <w:tc>
          <w:tcPr>
            <w:tcW w:type="dxa" w:w="1440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8FAFC"/>
          </w:tcPr>
          <w:p>
            <w:pPr>
              <w:spacing w:before="0" w:after="0" w:line="245" w:lineRule="auto"/>
            </w:pPr>
            <w:r>
              <w:rPr>
                <w:rFonts w:ascii="Aptos" w:hAnsi="Aptos"/>
                <w:b w:val="0"/>
                <w:i w:val="0"/>
                <w:color w:val="333F4F"/>
                <w:sz w:val="17"/>
              </w:rPr>
              <w:t>Facebook</w:t>
            </w:r>
          </w:p>
        </w:tc>
        <w:tc>
          <w:tcPr>
            <w:tcW w:type="dxa" w:w="374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8FAFC"/>
          </w:tcPr>
          <w:p>
            <w:pPr>
              <w:spacing w:before="0" w:after="0" w:line="245" w:lineRule="auto"/>
            </w:pPr>
            <w:r>
              <w:rPr>
                <w:rFonts w:ascii="Aptos" w:hAnsi="Aptos"/>
                <w:b w:val="0"/>
                <w:i w:val="0"/>
                <w:color w:val="333F4F"/>
                <w:sz w:val="17"/>
              </w:rPr>
              <w:t>Broad adult reach; U.S. age data shows especially strong daily use among ages 30-64, used here as a directional age benchmark. [3]</w:t>
            </w:r>
          </w:p>
        </w:tc>
        <w:tc>
          <w:tcPr>
            <w:tcW w:type="dxa" w:w="403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8FAFC"/>
          </w:tcPr>
          <w:p>
            <w:pPr>
              <w:spacing w:before="0" w:after="0" w:line="245" w:lineRule="auto"/>
            </w:pPr>
            <w:r>
              <w:rPr>
                <w:rFonts w:ascii="Aptos" w:hAnsi="Aptos"/>
                <w:b w:val="0"/>
                <w:i w:val="0"/>
                <w:color w:val="333F4F"/>
                <w:sz w:val="17"/>
              </w:rPr>
              <w:t>Local groups, owner audiences, events, community posts, and Meta retargeting.</w:t>
            </w:r>
          </w:p>
        </w:tc>
      </w:tr>
      <w:tr>
        <w:trPr>
          <w:cantSplit/>
        </w:trPr>
        <w:tc>
          <w:tcPr>
            <w:tcW w:type="dxa" w:w="1440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before="0" w:after="0" w:line="245" w:lineRule="auto"/>
            </w:pPr>
            <w:r>
              <w:rPr>
                <w:rFonts w:ascii="Aptos" w:hAnsi="Aptos"/>
                <w:b w:val="0"/>
                <w:i w:val="0"/>
                <w:color w:val="333F4F"/>
                <w:sz w:val="17"/>
              </w:rPr>
              <w:t>TikTok</w:t>
            </w:r>
          </w:p>
        </w:tc>
        <w:tc>
          <w:tcPr>
            <w:tcW w:type="dxa" w:w="374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before="0" w:after="0" w:line="245" w:lineRule="auto"/>
            </w:pPr>
            <w:r>
              <w:rPr>
                <w:rFonts w:ascii="Aptos" w:hAnsi="Aptos"/>
                <w:b w:val="0"/>
                <w:i w:val="0"/>
                <w:color w:val="333F4F"/>
                <w:sz w:val="17"/>
              </w:rPr>
              <w:t>Younger-skewing: roughly half of U.S. adults ages 18-29 use it daily, compared with 5% of adults 65+. [3]</w:t>
            </w:r>
          </w:p>
        </w:tc>
        <w:tc>
          <w:tcPr>
            <w:tcW w:type="dxa" w:w="403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before="0" w:after="0" w:line="245" w:lineRule="auto"/>
            </w:pPr>
            <w:r>
              <w:rPr>
                <w:rFonts w:ascii="Aptos" w:hAnsi="Aptos"/>
                <w:b w:val="0"/>
                <w:i w:val="0"/>
                <w:color w:val="333F4F"/>
                <w:sz w:val="17"/>
              </w:rPr>
              <w:t>Fast hooks, short educational videos, trend-aware storytelling, and reach.</w:t>
            </w:r>
          </w:p>
        </w:tc>
      </w:tr>
      <w:tr>
        <w:trPr>
          <w:cantSplit/>
        </w:trPr>
        <w:tc>
          <w:tcPr>
            <w:tcW w:type="dxa" w:w="1440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8FAFC"/>
          </w:tcPr>
          <w:p>
            <w:pPr>
              <w:spacing w:before="0" w:after="0" w:line="245" w:lineRule="auto"/>
            </w:pPr>
            <w:r>
              <w:rPr>
                <w:rFonts w:ascii="Aptos" w:hAnsi="Aptos"/>
                <w:b w:val="0"/>
                <w:i w:val="0"/>
                <w:color w:val="333F4F"/>
                <w:sz w:val="17"/>
              </w:rPr>
              <w:t>LinkedIn</w:t>
            </w:r>
          </w:p>
        </w:tc>
        <w:tc>
          <w:tcPr>
            <w:tcW w:type="dxa" w:w="374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8FAFC"/>
          </w:tcPr>
          <w:p>
            <w:pPr>
              <w:spacing w:before="0" w:after="0" w:line="245" w:lineRule="auto"/>
            </w:pPr>
            <w:r>
              <w:rPr>
                <w:rFonts w:ascii="Aptos" w:hAnsi="Aptos"/>
                <w:b w:val="0"/>
                <w:i w:val="0"/>
                <w:color w:val="333F4F"/>
                <w:sz w:val="17"/>
              </w:rPr>
              <w:t>29.0 million registered members in Canada in late 2025; advertising data covers members age 18+. [2]</w:t>
            </w:r>
          </w:p>
        </w:tc>
        <w:tc>
          <w:tcPr>
            <w:tcW w:type="dxa" w:w="403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8FAFC"/>
          </w:tcPr>
          <w:p>
            <w:pPr>
              <w:spacing w:before="0" w:after="0" w:line="245" w:lineRule="auto"/>
            </w:pPr>
            <w:r>
              <w:rPr>
                <w:rFonts w:ascii="Aptos" w:hAnsi="Aptos"/>
                <w:b w:val="0"/>
                <w:i w:val="0"/>
                <w:color w:val="333F4F"/>
                <w:sz w:val="17"/>
              </w:rPr>
              <w:t>B2B authority, case studies, strategic insights, partnerships, and leads.</w:t>
            </w:r>
          </w:p>
        </w:tc>
      </w:tr>
      <w:tr>
        <w:trPr>
          <w:cantSplit/>
        </w:trPr>
        <w:tc>
          <w:tcPr>
            <w:tcW w:type="dxa" w:w="1440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before="0" w:after="0" w:line="245" w:lineRule="auto"/>
            </w:pPr>
            <w:r>
              <w:rPr>
                <w:rFonts w:ascii="Aptos" w:hAnsi="Aptos"/>
                <w:b w:val="0"/>
                <w:i w:val="0"/>
                <w:color w:val="333F4F"/>
                <w:sz w:val="17"/>
              </w:rPr>
              <w:t>Rednote</w:t>
            </w:r>
          </w:p>
        </w:tc>
        <w:tc>
          <w:tcPr>
            <w:tcW w:type="dxa" w:w="374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before="0" w:after="0" w:line="245" w:lineRule="auto"/>
            </w:pPr>
            <w:r>
              <w:rPr>
                <w:rFonts w:ascii="Aptos" w:hAnsi="Aptos"/>
                <w:b w:val="0"/>
                <w:i w:val="0"/>
                <w:color w:val="333F4F"/>
                <w:sz w:val="17"/>
              </w:rPr>
              <w:t>Young and female-skewed; 18-24-year-olds represent about 43.8% of the reported user base and women about 72%. [4]</w:t>
            </w:r>
          </w:p>
        </w:tc>
        <w:tc>
          <w:tcPr>
            <w:tcW w:type="dxa" w:w="403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before="0" w:after="0" w:line="245" w:lineRule="auto"/>
            </w:pPr>
            <w:r>
              <w:rPr>
                <w:rFonts w:ascii="Aptos" w:hAnsi="Aptos"/>
                <w:b w:val="0"/>
                <w:i w:val="0"/>
                <w:color w:val="333F4F"/>
                <w:sz w:val="17"/>
              </w:rPr>
              <w:t>Chinese-language discovery, local guides, trusted recommendations, and multicultural market insight.</w:t>
            </w:r>
          </w:p>
        </w:tc>
      </w:tr>
    </w:tbl>
    <w:p>
      <w:pPr>
        <w:spacing w:after="20"/>
      </w:pPr>
    </w:p>
    <w:p>
      <w:pPr>
        <w:spacing w:before="0" w:after="160" w:line="259" w:lineRule="auto"/>
      </w:pPr>
      <w:r>
        <w:rPr>
          <w:rFonts w:ascii="Aptos" w:hAnsi="Aptos"/>
          <w:b w:val="0"/>
          <w:i w:val="0"/>
          <w:color w:val="333F4F"/>
          <w:sz w:val="21"/>
        </w:rPr>
        <w:t>Note: Pew Research age figures are based on U.S. adults and are used only as directional platform-age evidence; Canadian reach figures are supplied separately by DataReportal. Rednote figures describe the platform's broader user base, not Calgary-specific reach.</w:t>
      </w:r>
    </w:p>
    <w:p>
      <w:pPr>
        <w:pStyle w:val="Heading1"/>
        <w:keepNext/>
        <w:spacing w:before="240" w:after="100" w:line="259" w:lineRule="auto"/>
        <w:shd w:fill="FFFBEA"/>
      </w:pPr>
      <w:r>
        <w:rPr>
          <w:rFonts w:ascii="Aptos" w:hAnsi="Aptos"/>
          <w:b/>
          <w:i w:val="0"/>
          <w:color w:val="333F4F"/>
          <w:sz w:val="32"/>
        </w:rPr>
        <w:t>5. Content Strategy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3331"/>
        <w:gridCol w:w="3331"/>
        <w:gridCol w:w="3331"/>
      </w:tblGrid>
      <w:tr>
        <w:trPr>
          <w:tblHeader w:val="true"/>
          <w:cantSplit/>
        </w:trPr>
        <w:tc>
          <w:tcPr>
            <w:tcW w:type="dxa" w:w="2592"/>
            <w:shd w:fill="333F4F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Content pillar</w:t>
            </w:r>
          </w:p>
        </w:tc>
        <w:tc>
          <w:tcPr>
            <w:tcW w:type="dxa" w:w="1008"/>
            <w:shd w:fill="333F4F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Share</w:t>
            </w:r>
          </w:p>
        </w:tc>
        <w:tc>
          <w:tcPr>
            <w:tcW w:type="dxa" w:w="5616"/>
            <w:shd w:fill="333F4F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Purpose and examples</w:t>
            </w:r>
          </w:p>
        </w:tc>
      </w:tr>
      <w:tr>
        <w:trPr>
          <w:cantSplit/>
        </w:trPr>
        <w:tc>
          <w:tcPr>
            <w:tcW w:type="dxa" w:w="259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before="0" w:after="0" w:line="245" w:lineRule="auto"/>
            </w:pPr>
            <w:r>
              <w:rPr>
                <w:rFonts w:ascii="Aptos" w:hAnsi="Aptos"/>
                <w:b w:val="0"/>
                <w:i w:val="0"/>
                <w:color w:val="333F4F"/>
                <w:sz w:val="17"/>
              </w:rPr>
              <w:t>Education and practical marketing</w:t>
            </w:r>
          </w:p>
        </w:tc>
        <w:tc>
          <w:tcPr>
            <w:tcW w:type="dxa" w:w="100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before="0" w:after="0" w:line="245" w:lineRule="auto"/>
            </w:pPr>
            <w:r>
              <w:rPr>
                <w:rFonts w:ascii="Aptos" w:hAnsi="Aptos"/>
                <w:b w:val="0"/>
                <w:i w:val="0"/>
                <w:color w:val="333F4F"/>
                <w:sz w:val="17"/>
              </w:rPr>
              <w:t>35%</w:t>
            </w:r>
          </w:p>
        </w:tc>
        <w:tc>
          <w:tcPr>
            <w:tcW w:type="dxa" w:w="561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before="0" w:after="0" w:line="245" w:lineRule="auto"/>
            </w:pPr>
            <w:r>
              <w:rPr>
                <w:rFonts w:ascii="Aptos" w:hAnsi="Aptos"/>
                <w:b w:val="0"/>
                <w:i w:val="0"/>
                <w:color w:val="333F4F"/>
                <w:sz w:val="17"/>
              </w:rPr>
              <w:t>Bilingual caption tips, platform choices, content checklists, hooks, UTM basics, and simple marketing explanations.</w:t>
            </w:r>
          </w:p>
        </w:tc>
      </w:tr>
      <w:tr>
        <w:trPr>
          <w:cantSplit/>
        </w:trPr>
        <w:tc>
          <w:tcPr>
            <w:tcW w:type="dxa" w:w="259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8FAFC"/>
          </w:tcPr>
          <w:p>
            <w:pPr>
              <w:spacing w:before="0" w:after="0" w:line="245" w:lineRule="auto"/>
            </w:pPr>
            <w:r>
              <w:rPr>
                <w:rFonts w:ascii="Aptos" w:hAnsi="Aptos"/>
                <w:b w:val="0"/>
                <w:i w:val="0"/>
                <w:color w:val="333F4F"/>
                <w:sz w:val="17"/>
              </w:rPr>
              <w:t>Calgary and multicultural insight</w:t>
            </w:r>
          </w:p>
        </w:tc>
        <w:tc>
          <w:tcPr>
            <w:tcW w:type="dxa" w:w="100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8FAFC"/>
          </w:tcPr>
          <w:p>
            <w:pPr>
              <w:spacing w:before="0" w:after="0" w:line="245" w:lineRule="auto"/>
            </w:pPr>
            <w:r>
              <w:rPr>
                <w:rFonts w:ascii="Aptos" w:hAnsi="Aptos"/>
                <w:b w:val="0"/>
                <w:i w:val="0"/>
                <w:color w:val="333F4F"/>
                <w:sz w:val="17"/>
              </w:rPr>
              <w:t>25%</w:t>
            </w:r>
          </w:p>
        </w:tc>
        <w:tc>
          <w:tcPr>
            <w:tcW w:type="dxa" w:w="561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8FAFC"/>
          </w:tcPr>
          <w:p>
            <w:pPr>
              <w:spacing w:before="0" w:after="0" w:line="245" w:lineRule="auto"/>
            </w:pPr>
            <w:r>
              <w:rPr>
                <w:rFonts w:ascii="Aptos" w:hAnsi="Aptos"/>
                <w:b w:val="0"/>
                <w:i w:val="0"/>
                <w:color w:val="333F4F"/>
                <w:sz w:val="17"/>
              </w:rPr>
              <w:t>Local business discovery, Chinese-market observations, community events, and timely Calgary content ideas.</w:t>
            </w:r>
          </w:p>
        </w:tc>
      </w:tr>
      <w:tr>
        <w:trPr>
          <w:cantSplit/>
        </w:trPr>
        <w:tc>
          <w:tcPr>
            <w:tcW w:type="dxa" w:w="259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before="0" w:after="0" w:line="245" w:lineRule="auto"/>
            </w:pPr>
            <w:r>
              <w:rPr>
                <w:rFonts w:ascii="Aptos" w:hAnsi="Aptos"/>
                <w:b w:val="0"/>
                <w:i w:val="0"/>
                <w:color w:val="333F4F"/>
                <w:sz w:val="17"/>
              </w:rPr>
              <w:t>Proof and portfolio</w:t>
            </w:r>
          </w:p>
        </w:tc>
        <w:tc>
          <w:tcPr>
            <w:tcW w:type="dxa" w:w="100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before="0" w:after="0" w:line="245" w:lineRule="auto"/>
            </w:pPr>
            <w:r>
              <w:rPr>
                <w:rFonts w:ascii="Aptos" w:hAnsi="Aptos"/>
                <w:b w:val="0"/>
                <w:i w:val="0"/>
                <w:color w:val="333F4F"/>
                <w:sz w:val="17"/>
              </w:rPr>
              <w:t>25%</w:t>
            </w:r>
          </w:p>
        </w:tc>
        <w:tc>
          <w:tcPr>
            <w:tcW w:type="dxa" w:w="561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before="0" w:after="0" w:line="245" w:lineRule="auto"/>
            </w:pPr>
            <w:r>
              <w:rPr>
                <w:rFonts w:ascii="Aptos" w:hAnsi="Aptos"/>
                <w:b w:val="0"/>
                <w:i w:val="0"/>
                <w:color w:val="333F4F"/>
                <w:sz w:val="17"/>
              </w:rPr>
              <w:t>Case studies, campaign results, before-and-after examples, testimonials, and project breakdowns.</w:t>
            </w:r>
          </w:p>
        </w:tc>
      </w:tr>
      <w:tr>
        <w:trPr>
          <w:cantSplit/>
        </w:trPr>
        <w:tc>
          <w:tcPr>
            <w:tcW w:type="dxa" w:w="259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8FAFC"/>
          </w:tcPr>
          <w:p>
            <w:pPr>
              <w:spacing w:before="0" w:after="0" w:line="245" w:lineRule="auto"/>
            </w:pPr>
            <w:r>
              <w:rPr>
                <w:rFonts w:ascii="Aptos" w:hAnsi="Aptos"/>
                <w:b w:val="0"/>
                <w:i w:val="0"/>
                <w:color w:val="333F4F"/>
                <w:sz w:val="17"/>
              </w:rPr>
              <w:t>Behind the scenes and community</w:t>
            </w:r>
          </w:p>
        </w:tc>
        <w:tc>
          <w:tcPr>
            <w:tcW w:type="dxa" w:w="100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8FAFC"/>
          </w:tcPr>
          <w:p>
            <w:pPr>
              <w:spacing w:before="0" w:after="0" w:line="245" w:lineRule="auto"/>
            </w:pPr>
            <w:r>
              <w:rPr>
                <w:rFonts w:ascii="Aptos" w:hAnsi="Aptos"/>
                <w:b w:val="0"/>
                <w:i w:val="0"/>
                <w:color w:val="333F4F"/>
                <w:sz w:val="17"/>
              </w:rPr>
              <w:t>15%</w:t>
            </w:r>
          </w:p>
        </w:tc>
        <w:tc>
          <w:tcPr>
            <w:tcW w:type="dxa" w:w="561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8FAFC"/>
          </w:tcPr>
          <w:p>
            <w:pPr>
              <w:spacing w:before="0" w:after="0" w:line="245" w:lineRule="auto"/>
            </w:pPr>
            <w:r>
              <w:rPr>
                <w:rFonts w:ascii="Aptos" w:hAnsi="Aptos"/>
                <w:b w:val="0"/>
                <w:i w:val="0"/>
                <w:color w:val="333F4F"/>
                <w:sz w:val="17"/>
              </w:rPr>
              <w:t>Content shoots, workflow, creator perspective, polls, questions, and selected social-media holidays.</w:t>
            </w:r>
          </w:p>
        </w:tc>
      </w:tr>
    </w:tbl>
    <w:p>
      <w:pPr>
        <w:spacing w:after="20"/>
      </w:pPr>
    </w:p>
    <w:p>
      <w:pPr>
        <w:pStyle w:val="Heading2"/>
        <w:keepNext/>
        <w:spacing w:before="160" w:after="100" w:line="259" w:lineRule="auto"/>
      </w:pPr>
      <w:r>
        <w:rPr>
          <w:rFonts w:ascii="Aptos" w:hAnsi="Aptos"/>
          <w:b/>
          <w:i w:val="0"/>
          <w:color w:val="333F4F"/>
          <w:sz w:val="24"/>
        </w:rPr>
        <w:t>Content types and formats</w:t>
      </w:r>
    </w:p>
    <w:p>
      <w:pPr>
        <w:pStyle w:val="ListParagraph"/>
        <w:numPr>
          <w:ilvl w:val="0"/>
          <w:numId w:val="4"/>
        </w:numPr>
        <w:spacing w:before="0" w:after="60" w:line="259" w:lineRule="auto"/>
      </w:pPr>
      <w:r>
        <w:rPr>
          <w:rFonts w:ascii="Aptos" w:hAnsi="Aptos"/>
          <w:b w:val="0"/>
          <w:i w:val="0"/>
          <w:color w:val="333F4F"/>
          <w:sz w:val="21"/>
        </w:rPr>
        <w:t>Short-form video: Instagram Reels and TikTok videos with a strong first-three-second hook.</w:t>
      </w:r>
    </w:p>
    <w:p>
      <w:pPr>
        <w:pStyle w:val="ListParagraph"/>
        <w:numPr>
          <w:ilvl w:val="0"/>
          <w:numId w:val="4"/>
        </w:numPr>
        <w:spacing w:before="0" w:after="60" w:line="259" w:lineRule="auto"/>
      </w:pPr>
      <w:r>
        <w:rPr>
          <w:rFonts w:ascii="Aptos" w:hAnsi="Aptos"/>
          <w:b w:val="0"/>
          <w:i w:val="0"/>
          <w:color w:val="333F4F"/>
          <w:sz w:val="21"/>
        </w:rPr>
        <w:t>Carousels and infographics: saveable bilingual education, checklists, and case-study summaries.</w:t>
      </w:r>
    </w:p>
    <w:p>
      <w:pPr>
        <w:pStyle w:val="ListParagraph"/>
        <w:numPr>
          <w:ilvl w:val="0"/>
          <w:numId w:val="4"/>
        </w:numPr>
        <w:spacing w:before="0" w:after="60" w:line="259" w:lineRule="auto"/>
      </w:pPr>
      <w:r>
        <w:rPr>
          <w:rFonts w:ascii="Aptos" w:hAnsi="Aptos"/>
          <w:b w:val="0"/>
          <w:i w:val="0"/>
          <w:color w:val="333F4F"/>
          <w:sz w:val="21"/>
        </w:rPr>
        <w:t>Stories: polls, questions, previews, local recommendations, and behind-the-scenes moments.</w:t>
      </w:r>
    </w:p>
    <w:p>
      <w:pPr>
        <w:pStyle w:val="ListParagraph"/>
        <w:numPr>
          <w:ilvl w:val="0"/>
          <w:numId w:val="4"/>
        </w:numPr>
        <w:spacing w:before="0" w:after="60" w:line="259" w:lineRule="auto"/>
      </w:pPr>
      <w:r>
        <w:rPr>
          <w:rFonts w:ascii="Aptos" w:hAnsi="Aptos"/>
          <w:b w:val="0"/>
          <w:i w:val="0"/>
          <w:color w:val="333F4F"/>
          <w:sz w:val="21"/>
        </w:rPr>
        <w:t>LinkedIn posts: professional insights, campaign results, and founder-led lessons.</w:t>
      </w:r>
    </w:p>
    <w:p>
      <w:pPr>
        <w:pStyle w:val="ListParagraph"/>
        <w:numPr>
          <w:ilvl w:val="0"/>
          <w:numId w:val="4"/>
        </w:numPr>
        <w:spacing w:before="0" w:after="60" w:line="259" w:lineRule="auto"/>
      </w:pPr>
      <w:r>
        <w:rPr>
          <w:rFonts w:ascii="Aptos" w:hAnsi="Aptos"/>
          <w:b w:val="0"/>
          <w:i w:val="0"/>
          <w:color w:val="333F4F"/>
          <w:sz w:val="21"/>
        </w:rPr>
        <w:t>Rednote posts: Chinese-language local guides, detailed captions, search-friendly keywords, and authentic recommendations.</w:t>
      </w:r>
    </w:p>
    <w:p>
      <w:pPr>
        <w:spacing w:before="0" w:after="120" w:line="259" w:lineRule="auto"/>
      </w:pPr>
      <w:r>
        <w:rPr>
          <w:rFonts w:ascii="Aptos" w:hAnsi="Aptos"/>
          <w:b/>
          <w:i w:val="0"/>
          <w:color w:val="333F4F"/>
          <w:sz w:val="21"/>
        </w:rPr>
        <w:t>Brand voice:</w:t>
      </w:r>
      <w:r>
        <w:rPr>
          <w:rFonts w:ascii="Aptos" w:hAnsi="Aptos"/>
          <w:b w:val="0"/>
          <w:i w:val="0"/>
          <w:color w:val="333F4F"/>
          <w:sz w:val="21"/>
        </w:rPr>
        <w:t xml:space="preserve"> clear, practical, confident, culturally aware, and personal. Content should avoid literal translation; each idea will be adapted to platform behaviour and audience intent.</w:t>
      </w:r>
    </w:p>
    <w:p>
      <w:pPr>
        <w:pStyle w:val="Heading1"/>
        <w:keepNext/>
        <w:spacing w:before="240" w:after="100" w:line="259" w:lineRule="auto"/>
        <w:shd w:fill="FFFBEA"/>
      </w:pPr>
      <w:r>
        <w:rPr>
          <w:rFonts w:ascii="Aptos" w:hAnsi="Aptos"/>
          <w:b/>
          <w:i w:val="0"/>
          <w:color w:val="333F4F"/>
          <w:sz w:val="32"/>
        </w:rPr>
        <w:t>6. Posting Schedule and Content Calendar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3331"/>
        <w:gridCol w:w="3331"/>
        <w:gridCol w:w="3331"/>
      </w:tblGrid>
      <w:tr>
        <w:trPr>
          <w:tblHeader w:val="true"/>
          <w:cantSplit/>
        </w:trPr>
        <w:tc>
          <w:tcPr>
            <w:tcW w:type="dxa" w:w="1800"/>
            <w:shd w:fill="333F4F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Platform</w:t>
            </w:r>
          </w:p>
        </w:tc>
        <w:tc>
          <w:tcPr>
            <w:tcW w:type="dxa" w:w="3312"/>
            <w:shd w:fill="333F4F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Planned frequency</w:t>
            </w:r>
          </w:p>
        </w:tc>
        <w:tc>
          <w:tcPr>
            <w:tcW w:type="dxa" w:w="4104"/>
            <w:shd w:fill="333F4F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Best-use formats</w:t>
            </w:r>
          </w:p>
        </w:tc>
      </w:tr>
      <w:tr>
        <w:trPr>
          <w:cantSplit/>
        </w:trPr>
        <w:tc>
          <w:tcPr>
            <w:tcW w:type="dxa" w:w="1800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before="0" w:after="0" w:line="245" w:lineRule="auto"/>
            </w:pPr>
            <w:r>
              <w:rPr>
                <w:rFonts w:ascii="Aptos" w:hAnsi="Aptos"/>
                <w:b w:val="0"/>
                <w:i w:val="0"/>
                <w:color w:val="333F4F"/>
                <w:sz w:val="17"/>
              </w:rPr>
              <w:t>Instagram</w:t>
            </w:r>
          </w:p>
        </w:tc>
        <w:tc>
          <w:tcPr>
            <w:tcW w:type="dxa" w:w="331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before="0" w:after="0" w:line="245" w:lineRule="auto"/>
            </w:pPr>
            <w:r>
              <w:rPr>
                <w:rFonts w:ascii="Aptos" w:hAnsi="Aptos"/>
                <w:b w:val="0"/>
                <w:i w:val="0"/>
                <w:color w:val="333F4F"/>
                <w:sz w:val="17"/>
              </w:rPr>
              <w:t>3 feed posts per week; Stories 4-5 days per week</w:t>
            </w:r>
          </w:p>
        </w:tc>
        <w:tc>
          <w:tcPr>
            <w:tcW w:type="dxa" w:w="410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before="0" w:after="0" w:line="245" w:lineRule="auto"/>
            </w:pPr>
            <w:r>
              <w:rPr>
                <w:rFonts w:ascii="Aptos" w:hAnsi="Aptos"/>
                <w:b w:val="0"/>
                <w:i w:val="0"/>
                <w:color w:val="333F4F"/>
                <w:sz w:val="17"/>
              </w:rPr>
              <w:t>Reels, carousels, Stories</w:t>
            </w:r>
          </w:p>
        </w:tc>
      </w:tr>
      <w:tr>
        <w:trPr>
          <w:cantSplit/>
        </w:trPr>
        <w:tc>
          <w:tcPr>
            <w:tcW w:type="dxa" w:w="1800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8FAFC"/>
          </w:tcPr>
          <w:p>
            <w:pPr>
              <w:spacing w:before="0" w:after="0" w:line="245" w:lineRule="auto"/>
            </w:pPr>
            <w:r>
              <w:rPr>
                <w:rFonts w:ascii="Aptos" w:hAnsi="Aptos"/>
                <w:b w:val="0"/>
                <w:i w:val="0"/>
                <w:color w:val="333F4F"/>
                <w:sz w:val="17"/>
              </w:rPr>
              <w:t>TikTok</w:t>
            </w:r>
          </w:p>
        </w:tc>
        <w:tc>
          <w:tcPr>
            <w:tcW w:type="dxa" w:w="331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8FAFC"/>
          </w:tcPr>
          <w:p>
            <w:pPr>
              <w:spacing w:before="0" w:after="0" w:line="245" w:lineRule="auto"/>
            </w:pPr>
            <w:r>
              <w:rPr>
                <w:rFonts w:ascii="Aptos" w:hAnsi="Aptos"/>
                <w:b w:val="0"/>
                <w:i w:val="0"/>
                <w:color w:val="333F4F"/>
                <w:sz w:val="17"/>
              </w:rPr>
              <w:t>2 posts per week</w:t>
            </w:r>
          </w:p>
        </w:tc>
        <w:tc>
          <w:tcPr>
            <w:tcW w:type="dxa" w:w="410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8FAFC"/>
          </w:tcPr>
          <w:p>
            <w:pPr>
              <w:spacing w:before="0" w:after="0" w:line="245" w:lineRule="auto"/>
            </w:pPr>
            <w:r>
              <w:rPr>
                <w:rFonts w:ascii="Aptos" w:hAnsi="Aptos"/>
                <w:b w:val="0"/>
                <w:i w:val="0"/>
                <w:color w:val="333F4F"/>
                <w:sz w:val="17"/>
              </w:rPr>
              <w:t>Short educational video, POV, local discovery</w:t>
            </w:r>
          </w:p>
        </w:tc>
      </w:tr>
      <w:tr>
        <w:trPr>
          <w:cantSplit/>
        </w:trPr>
        <w:tc>
          <w:tcPr>
            <w:tcW w:type="dxa" w:w="1800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before="0" w:after="0" w:line="245" w:lineRule="auto"/>
            </w:pPr>
            <w:r>
              <w:rPr>
                <w:rFonts w:ascii="Aptos" w:hAnsi="Aptos"/>
                <w:b w:val="0"/>
                <w:i w:val="0"/>
                <w:color w:val="333F4F"/>
                <w:sz w:val="17"/>
              </w:rPr>
              <w:t>LinkedIn</w:t>
            </w:r>
          </w:p>
        </w:tc>
        <w:tc>
          <w:tcPr>
            <w:tcW w:type="dxa" w:w="331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before="0" w:after="0" w:line="245" w:lineRule="auto"/>
            </w:pPr>
            <w:r>
              <w:rPr>
                <w:rFonts w:ascii="Aptos" w:hAnsi="Aptos"/>
                <w:b w:val="0"/>
                <w:i w:val="0"/>
                <w:color w:val="333F4F"/>
                <w:sz w:val="17"/>
              </w:rPr>
              <w:t>2 posts per week</w:t>
            </w:r>
          </w:p>
        </w:tc>
        <w:tc>
          <w:tcPr>
            <w:tcW w:type="dxa" w:w="410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before="0" w:after="0" w:line="245" w:lineRule="auto"/>
            </w:pPr>
            <w:r>
              <w:rPr>
                <w:rFonts w:ascii="Aptos" w:hAnsi="Aptos"/>
                <w:b w:val="0"/>
                <w:i w:val="0"/>
                <w:color w:val="333F4F"/>
                <w:sz w:val="17"/>
              </w:rPr>
              <w:t>Case studies, insights, portfolio links</w:t>
            </w:r>
          </w:p>
        </w:tc>
      </w:tr>
      <w:tr>
        <w:trPr>
          <w:cantSplit/>
        </w:trPr>
        <w:tc>
          <w:tcPr>
            <w:tcW w:type="dxa" w:w="1800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8FAFC"/>
          </w:tcPr>
          <w:p>
            <w:pPr>
              <w:spacing w:before="0" w:after="0" w:line="245" w:lineRule="auto"/>
            </w:pPr>
            <w:r>
              <w:rPr>
                <w:rFonts w:ascii="Aptos" w:hAnsi="Aptos"/>
                <w:b w:val="0"/>
                <w:i w:val="0"/>
                <w:color w:val="333F4F"/>
                <w:sz w:val="17"/>
              </w:rPr>
              <w:t>Facebook</w:t>
            </w:r>
          </w:p>
        </w:tc>
        <w:tc>
          <w:tcPr>
            <w:tcW w:type="dxa" w:w="331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8FAFC"/>
          </w:tcPr>
          <w:p>
            <w:pPr>
              <w:spacing w:before="0" w:after="0" w:line="245" w:lineRule="auto"/>
            </w:pPr>
            <w:r>
              <w:rPr>
                <w:rFonts w:ascii="Aptos" w:hAnsi="Aptos"/>
                <w:b w:val="0"/>
                <w:i w:val="0"/>
                <w:color w:val="333F4F"/>
                <w:sz w:val="17"/>
              </w:rPr>
              <w:t>2 posts per week</w:t>
            </w:r>
          </w:p>
        </w:tc>
        <w:tc>
          <w:tcPr>
            <w:tcW w:type="dxa" w:w="410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8FAFC"/>
          </w:tcPr>
          <w:p>
            <w:pPr>
              <w:spacing w:before="0" w:after="0" w:line="245" w:lineRule="auto"/>
            </w:pPr>
            <w:r>
              <w:rPr>
                <w:rFonts w:ascii="Aptos" w:hAnsi="Aptos"/>
                <w:b w:val="0"/>
                <w:i w:val="0"/>
                <w:color w:val="333F4F"/>
                <w:sz w:val="17"/>
              </w:rPr>
              <w:t>Repurposed tips, local community posts, lead offers</w:t>
            </w:r>
          </w:p>
        </w:tc>
      </w:tr>
      <w:tr>
        <w:trPr>
          <w:cantSplit/>
        </w:trPr>
        <w:tc>
          <w:tcPr>
            <w:tcW w:type="dxa" w:w="1800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before="0" w:after="0" w:line="245" w:lineRule="auto"/>
            </w:pPr>
            <w:r>
              <w:rPr>
                <w:rFonts w:ascii="Aptos" w:hAnsi="Aptos"/>
                <w:b w:val="0"/>
                <w:i w:val="0"/>
                <w:color w:val="333F4F"/>
                <w:sz w:val="17"/>
              </w:rPr>
              <w:t>Rednote</w:t>
            </w:r>
          </w:p>
        </w:tc>
        <w:tc>
          <w:tcPr>
            <w:tcW w:type="dxa" w:w="331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before="0" w:after="0" w:line="245" w:lineRule="auto"/>
            </w:pPr>
            <w:r>
              <w:rPr>
                <w:rFonts w:ascii="Aptos" w:hAnsi="Aptos"/>
                <w:b w:val="0"/>
                <w:i w:val="0"/>
                <w:color w:val="333F4F"/>
                <w:sz w:val="17"/>
              </w:rPr>
              <w:t>2 posts per week</w:t>
            </w:r>
          </w:p>
        </w:tc>
        <w:tc>
          <w:tcPr>
            <w:tcW w:type="dxa" w:w="410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before="0" w:after="0" w:line="245" w:lineRule="auto"/>
            </w:pPr>
            <w:r>
              <w:rPr>
                <w:rFonts w:ascii="Aptos" w:hAnsi="Aptos"/>
                <w:b w:val="0"/>
                <w:i w:val="0"/>
                <w:color w:val="333F4F"/>
                <w:sz w:val="17"/>
              </w:rPr>
              <w:t>Chinese guides, local lists, case studies</w:t>
            </w:r>
          </w:p>
        </w:tc>
      </w:tr>
    </w:tbl>
    <w:p>
      <w:pPr>
        <w:spacing w:after="20"/>
      </w:pPr>
    </w:p>
    <w:p>
      <w:pPr>
        <w:spacing w:before="0" w:after="120" w:line="259" w:lineRule="auto"/>
      </w:pPr>
      <w:r>
        <w:rPr>
          <w:rFonts w:ascii="Aptos" w:hAnsi="Aptos"/>
          <w:b w:val="0"/>
          <w:i w:val="0"/>
          <w:color w:val="333F4F"/>
          <w:sz w:val="21"/>
        </w:rPr>
        <w:t>The accompanying spreadsheet, Yunjing_Hannah_Zhang_Social_Media_Calendar_September_2026.xlsx, lists the exact post dates, platforms, topics, formats, and content pillars. Posts will be scheduled in Meta Business Suite where possible; TikTok, LinkedIn, and Rednote will be published natively so platform-specific captions and features can be used.</w:t>
      </w:r>
    </w:p>
    <w:p>
      <w:pPr>
        <w:pStyle w:val="Heading1"/>
        <w:keepNext/>
        <w:spacing w:before="240" w:after="100" w:line="259" w:lineRule="auto"/>
        <w:shd w:fill="FFFBEA"/>
      </w:pPr>
      <w:r>
        <w:rPr>
          <w:rFonts w:ascii="Aptos" w:hAnsi="Aptos"/>
          <w:b/>
          <w:i w:val="0"/>
          <w:color w:val="333F4F"/>
          <w:sz w:val="32"/>
        </w:rPr>
        <w:t>7. Paid Social Strategy</w:t>
      </w:r>
    </w:p>
    <w:p>
      <w:pPr>
        <w:spacing w:before="0" w:after="120" w:line="259" w:lineRule="auto"/>
      </w:pPr>
      <w:r>
        <w:rPr>
          <w:rFonts w:ascii="Aptos" w:hAnsi="Aptos"/>
          <w:b w:val="0"/>
          <w:i w:val="0"/>
          <w:color w:val="333F4F"/>
          <w:sz w:val="21"/>
        </w:rPr>
        <w:t>Yuniq will test Meta ads on Instagram and Facebook with a CAD $300 monthly budget. The objective is to generate qualified Calgary leads while building a retargeting audience.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3331"/>
        <w:gridCol w:w="3331"/>
        <w:gridCol w:w="3331"/>
      </w:tblGrid>
      <w:tr>
        <w:trPr>
          <w:tblHeader w:val="true"/>
          <w:cantSplit/>
        </w:trPr>
        <w:tc>
          <w:tcPr>
            <w:tcW w:type="dxa" w:w="2160"/>
            <w:shd w:fill="333F4F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Campaign</w:t>
            </w:r>
          </w:p>
        </w:tc>
        <w:tc>
          <w:tcPr>
            <w:tcW w:type="dxa" w:w="1440"/>
            <w:shd w:fill="333F4F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Budget</w:t>
            </w:r>
          </w:p>
        </w:tc>
        <w:tc>
          <w:tcPr>
            <w:tcW w:type="dxa" w:w="5616"/>
            <w:shd w:fill="333F4F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Audience and purpose</w:t>
            </w:r>
          </w:p>
        </w:tc>
      </w:tr>
      <w:tr>
        <w:trPr>
          <w:cantSplit/>
        </w:trPr>
        <w:tc>
          <w:tcPr>
            <w:tcW w:type="dxa" w:w="2160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before="0" w:after="0" w:line="245" w:lineRule="auto"/>
            </w:pPr>
            <w:r>
              <w:rPr>
                <w:rFonts w:ascii="Aptos" w:hAnsi="Aptos"/>
                <w:b w:val="0"/>
                <w:i w:val="0"/>
                <w:color w:val="333F4F"/>
                <w:sz w:val="17"/>
              </w:rPr>
              <w:t>Prospecting</w:t>
            </w:r>
          </w:p>
        </w:tc>
        <w:tc>
          <w:tcPr>
            <w:tcW w:type="dxa" w:w="1440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before="0" w:after="0" w:line="245" w:lineRule="auto"/>
            </w:pPr>
            <w:r>
              <w:rPr>
                <w:rFonts w:ascii="Aptos" w:hAnsi="Aptos"/>
                <w:b w:val="0"/>
                <w:i w:val="0"/>
                <w:color w:val="333F4F"/>
                <w:sz w:val="17"/>
              </w:rPr>
              <w:t>$210 (70%)</w:t>
            </w:r>
          </w:p>
        </w:tc>
        <w:tc>
          <w:tcPr>
            <w:tcW w:type="dxa" w:w="561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before="0" w:after="0" w:line="245" w:lineRule="auto"/>
            </w:pPr>
            <w:r>
              <w:rPr>
                <w:rFonts w:ascii="Aptos" w:hAnsi="Aptos"/>
                <w:b w:val="0"/>
                <w:i w:val="0"/>
                <w:color w:val="333F4F"/>
                <w:sz w:val="17"/>
              </w:rPr>
              <w:t>Calgary-area small-business owners and decision-makers; promote a bilingual marketing checklist or portfolio case study.</w:t>
            </w:r>
          </w:p>
        </w:tc>
      </w:tr>
      <w:tr>
        <w:trPr>
          <w:cantSplit/>
        </w:trPr>
        <w:tc>
          <w:tcPr>
            <w:tcW w:type="dxa" w:w="2160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8FAFC"/>
          </w:tcPr>
          <w:p>
            <w:pPr>
              <w:spacing w:before="0" w:after="0" w:line="245" w:lineRule="auto"/>
            </w:pPr>
            <w:r>
              <w:rPr>
                <w:rFonts w:ascii="Aptos" w:hAnsi="Aptos"/>
                <w:b w:val="0"/>
                <w:i w:val="0"/>
                <w:color w:val="333F4F"/>
                <w:sz w:val="17"/>
              </w:rPr>
              <w:t>Retargeting</w:t>
            </w:r>
          </w:p>
        </w:tc>
        <w:tc>
          <w:tcPr>
            <w:tcW w:type="dxa" w:w="1440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8FAFC"/>
          </w:tcPr>
          <w:p>
            <w:pPr>
              <w:spacing w:before="0" w:after="0" w:line="245" w:lineRule="auto"/>
            </w:pPr>
            <w:r>
              <w:rPr>
                <w:rFonts w:ascii="Aptos" w:hAnsi="Aptos"/>
                <w:b w:val="0"/>
                <w:i w:val="0"/>
                <w:color w:val="333F4F"/>
                <w:sz w:val="17"/>
              </w:rPr>
              <w:t>$90 (30%)</w:t>
            </w:r>
          </w:p>
        </w:tc>
        <w:tc>
          <w:tcPr>
            <w:tcW w:type="dxa" w:w="561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8FAFC"/>
          </w:tcPr>
          <w:p>
            <w:pPr>
              <w:spacing w:before="0" w:after="0" w:line="245" w:lineRule="auto"/>
            </w:pPr>
            <w:r>
              <w:rPr>
                <w:rFonts w:ascii="Aptos" w:hAnsi="Aptos"/>
                <w:b w:val="0"/>
                <w:i w:val="0"/>
                <w:color w:val="333F4F"/>
                <w:sz w:val="17"/>
              </w:rPr>
              <w:t>People who watched videos, engaged with Instagram/Facebook, or visited the portfolio; invite them to book a discovery call.</w:t>
            </w:r>
          </w:p>
        </w:tc>
      </w:tr>
    </w:tbl>
    <w:p>
      <w:pPr>
        <w:spacing w:after="20"/>
      </w:pPr>
    </w:p>
    <w:p>
      <w:pPr>
        <w:pStyle w:val="ListParagraph"/>
        <w:numPr>
          <w:ilvl w:val="0"/>
          <w:numId w:val="4"/>
        </w:numPr>
        <w:spacing w:before="0" w:after="60" w:line="259" w:lineRule="auto"/>
      </w:pPr>
      <w:r>
        <w:rPr>
          <w:rFonts w:ascii="Aptos" w:hAnsi="Aptos"/>
          <w:b w:val="0"/>
          <w:i w:val="0"/>
          <w:color w:val="333F4F"/>
          <w:sz w:val="21"/>
        </w:rPr>
        <w:t>Use one clear offer and two creative variants: a short video and a carousel.</w:t>
      </w:r>
    </w:p>
    <w:p>
      <w:pPr>
        <w:pStyle w:val="ListParagraph"/>
        <w:numPr>
          <w:ilvl w:val="0"/>
          <w:numId w:val="4"/>
        </w:numPr>
        <w:spacing w:before="0" w:after="60" w:line="259" w:lineRule="auto"/>
      </w:pPr>
      <w:r>
        <w:rPr>
          <w:rFonts w:ascii="Aptos" w:hAnsi="Aptos"/>
          <w:b w:val="0"/>
          <w:i w:val="0"/>
          <w:color w:val="333F4F"/>
          <w:sz w:val="21"/>
        </w:rPr>
        <w:t>Use UTM-tagged links to separate paid and organic traffic in Google Analytics 4.</w:t>
      </w:r>
    </w:p>
    <w:p>
      <w:pPr>
        <w:pStyle w:val="ListParagraph"/>
        <w:numPr>
          <w:ilvl w:val="0"/>
          <w:numId w:val="4"/>
        </w:numPr>
        <w:spacing w:before="0" w:after="60" w:line="259" w:lineRule="auto"/>
      </w:pPr>
      <w:r>
        <w:rPr>
          <w:rFonts w:ascii="Aptos" w:hAnsi="Aptos"/>
          <w:b w:val="0"/>
          <w:i w:val="0"/>
          <w:color w:val="333F4F"/>
          <w:sz w:val="21"/>
        </w:rPr>
        <w:t>Review results weekly; pause weak creative rather than increasing the budget immediately.</w:t>
      </w:r>
    </w:p>
    <w:p>
      <w:pPr>
        <w:pStyle w:val="ListParagraph"/>
        <w:numPr>
          <w:ilvl w:val="0"/>
          <w:numId w:val="4"/>
        </w:numPr>
        <w:spacing w:before="0" w:after="60" w:line="259" w:lineRule="auto"/>
      </w:pPr>
      <w:r>
        <w:rPr>
          <w:rFonts w:ascii="Aptos" w:hAnsi="Aptos"/>
          <w:b w:val="0"/>
          <w:i w:val="0"/>
          <w:color w:val="333F4F"/>
          <w:sz w:val="21"/>
        </w:rPr>
        <w:t>Do not run paid TikTok or Rednote campaigns in September; first identify which organic messages earn saves, shares, and profile visits.</w:t>
      </w:r>
    </w:p>
    <w:p>
      <w:pPr>
        <w:pStyle w:val="Heading1"/>
        <w:keepNext/>
        <w:spacing w:before="240" w:after="100" w:line="259" w:lineRule="auto"/>
        <w:shd w:fill="FFFBEA"/>
      </w:pPr>
      <w:r>
        <w:rPr>
          <w:rFonts w:ascii="Aptos" w:hAnsi="Aptos"/>
          <w:b/>
          <w:i w:val="0"/>
          <w:color w:val="333F4F"/>
          <w:sz w:val="32"/>
        </w:rPr>
        <w:t>8. Key Performance Indicators (KPIs) and Measurement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3331"/>
        <w:gridCol w:w="3331"/>
        <w:gridCol w:w="3331"/>
      </w:tblGrid>
      <w:tr>
        <w:trPr>
          <w:tblHeader w:val="true"/>
          <w:cantSplit/>
        </w:trPr>
        <w:tc>
          <w:tcPr>
            <w:tcW w:type="dxa" w:w="1800"/>
            <w:shd w:fill="333F4F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Funnel stage</w:t>
            </w:r>
          </w:p>
        </w:tc>
        <w:tc>
          <w:tcPr>
            <w:tcW w:type="dxa" w:w="3600"/>
            <w:shd w:fill="333F4F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KPIs</w:t>
            </w:r>
          </w:p>
        </w:tc>
        <w:tc>
          <w:tcPr>
            <w:tcW w:type="dxa" w:w="3816"/>
            <w:shd w:fill="333F4F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Tools and review</w:t>
            </w:r>
          </w:p>
        </w:tc>
      </w:tr>
      <w:tr>
        <w:trPr>
          <w:cantSplit/>
        </w:trPr>
        <w:tc>
          <w:tcPr>
            <w:tcW w:type="dxa" w:w="1800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before="0" w:after="0" w:line="245" w:lineRule="auto"/>
            </w:pPr>
            <w:r>
              <w:rPr>
                <w:rFonts w:ascii="Aptos" w:hAnsi="Aptos"/>
                <w:b w:val="0"/>
                <w:i w:val="0"/>
                <w:color w:val="333F4F"/>
                <w:sz w:val="17"/>
              </w:rPr>
              <w:t>Awareness</w:t>
            </w:r>
          </w:p>
        </w:tc>
        <w:tc>
          <w:tcPr>
            <w:tcW w:type="dxa" w:w="3600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before="0" w:after="0" w:line="245" w:lineRule="auto"/>
            </w:pPr>
            <w:r>
              <w:rPr>
                <w:rFonts w:ascii="Aptos" w:hAnsi="Aptos"/>
                <w:b w:val="0"/>
                <w:i w:val="0"/>
                <w:color w:val="333F4F"/>
                <w:sz w:val="17"/>
              </w:rPr>
              <w:t>Reach, impressions, video views, audience growth</w:t>
            </w:r>
          </w:p>
        </w:tc>
        <w:tc>
          <w:tcPr>
            <w:tcW w:type="dxa" w:w="381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before="0" w:after="0" w:line="245" w:lineRule="auto"/>
            </w:pPr>
            <w:r>
              <w:rPr>
                <w:rFonts w:ascii="Aptos" w:hAnsi="Aptos"/>
                <w:b w:val="0"/>
                <w:i w:val="0"/>
                <w:color w:val="333F4F"/>
                <w:sz w:val="17"/>
              </w:rPr>
              <w:t>Native platform insights; weekly review</w:t>
            </w:r>
          </w:p>
        </w:tc>
      </w:tr>
      <w:tr>
        <w:trPr>
          <w:cantSplit/>
        </w:trPr>
        <w:tc>
          <w:tcPr>
            <w:tcW w:type="dxa" w:w="1800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8FAFC"/>
          </w:tcPr>
          <w:p>
            <w:pPr>
              <w:spacing w:before="0" w:after="0" w:line="245" w:lineRule="auto"/>
            </w:pPr>
            <w:r>
              <w:rPr>
                <w:rFonts w:ascii="Aptos" w:hAnsi="Aptos"/>
                <w:b w:val="0"/>
                <w:i w:val="0"/>
                <w:color w:val="333F4F"/>
                <w:sz w:val="17"/>
              </w:rPr>
              <w:t>Engagement</w:t>
            </w:r>
          </w:p>
        </w:tc>
        <w:tc>
          <w:tcPr>
            <w:tcW w:type="dxa" w:w="3600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8FAFC"/>
          </w:tcPr>
          <w:p>
            <w:pPr>
              <w:spacing w:before="0" w:after="0" w:line="245" w:lineRule="auto"/>
            </w:pPr>
            <w:r>
              <w:rPr>
                <w:rFonts w:ascii="Aptos" w:hAnsi="Aptos"/>
                <w:b w:val="0"/>
                <w:i w:val="0"/>
                <w:color w:val="333F4F"/>
                <w:sz w:val="17"/>
              </w:rPr>
              <w:t>Engagement rate by reach, saves, shares, comments, Story responses</w:t>
            </w:r>
          </w:p>
        </w:tc>
        <w:tc>
          <w:tcPr>
            <w:tcW w:type="dxa" w:w="381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8FAFC"/>
          </w:tcPr>
          <w:p>
            <w:pPr>
              <w:spacing w:before="0" w:after="0" w:line="245" w:lineRule="auto"/>
            </w:pPr>
            <w:r>
              <w:rPr>
                <w:rFonts w:ascii="Aptos" w:hAnsi="Aptos"/>
                <w:b w:val="0"/>
                <w:i w:val="0"/>
                <w:color w:val="333F4F"/>
                <w:sz w:val="17"/>
              </w:rPr>
              <w:t>Instagram, TikTok, LinkedIn, Facebook, Rednote insights; weekly</w:t>
            </w:r>
          </w:p>
        </w:tc>
      </w:tr>
      <w:tr>
        <w:trPr>
          <w:cantSplit/>
        </w:trPr>
        <w:tc>
          <w:tcPr>
            <w:tcW w:type="dxa" w:w="1800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before="0" w:after="0" w:line="245" w:lineRule="auto"/>
            </w:pPr>
            <w:r>
              <w:rPr>
                <w:rFonts w:ascii="Aptos" w:hAnsi="Aptos"/>
                <w:b w:val="0"/>
                <w:i w:val="0"/>
                <w:color w:val="333F4F"/>
                <w:sz w:val="17"/>
              </w:rPr>
              <w:t>Traffic</w:t>
            </w:r>
          </w:p>
        </w:tc>
        <w:tc>
          <w:tcPr>
            <w:tcW w:type="dxa" w:w="3600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before="0" w:after="0" w:line="245" w:lineRule="auto"/>
            </w:pPr>
            <w:r>
              <w:rPr>
                <w:rFonts w:ascii="Aptos" w:hAnsi="Aptos"/>
                <w:b w:val="0"/>
                <w:i w:val="0"/>
                <w:color w:val="333F4F"/>
                <w:sz w:val="17"/>
              </w:rPr>
              <w:t>Profile visits, link clicks, sessions, UTM source/medium</w:t>
            </w:r>
          </w:p>
        </w:tc>
        <w:tc>
          <w:tcPr>
            <w:tcW w:type="dxa" w:w="381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before="0" w:after="0" w:line="245" w:lineRule="auto"/>
            </w:pPr>
            <w:r>
              <w:rPr>
                <w:rFonts w:ascii="Aptos" w:hAnsi="Aptos"/>
                <w:b w:val="0"/>
                <w:i w:val="0"/>
                <w:color w:val="333F4F"/>
                <w:sz w:val="17"/>
              </w:rPr>
              <w:t>Google Analytics 4 and platform insights; weekly</w:t>
            </w:r>
          </w:p>
        </w:tc>
      </w:tr>
      <w:tr>
        <w:trPr>
          <w:cantSplit/>
        </w:trPr>
        <w:tc>
          <w:tcPr>
            <w:tcW w:type="dxa" w:w="1800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8FAFC"/>
          </w:tcPr>
          <w:p>
            <w:pPr>
              <w:spacing w:before="0" w:after="0" w:line="245" w:lineRule="auto"/>
            </w:pPr>
            <w:r>
              <w:rPr>
                <w:rFonts w:ascii="Aptos" w:hAnsi="Aptos"/>
                <w:b w:val="0"/>
                <w:i w:val="0"/>
                <w:color w:val="333F4F"/>
                <w:sz w:val="17"/>
              </w:rPr>
              <w:t>Lead generation</w:t>
            </w:r>
          </w:p>
        </w:tc>
        <w:tc>
          <w:tcPr>
            <w:tcW w:type="dxa" w:w="3600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8FAFC"/>
          </w:tcPr>
          <w:p>
            <w:pPr>
              <w:spacing w:before="0" w:after="0" w:line="245" w:lineRule="auto"/>
            </w:pPr>
            <w:r>
              <w:rPr>
                <w:rFonts w:ascii="Aptos" w:hAnsi="Aptos"/>
                <w:b w:val="0"/>
                <w:i w:val="0"/>
                <w:color w:val="333F4F"/>
                <w:sz w:val="17"/>
              </w:rPr>
              <w:t>Qualified inquiries, discovery calls, lead conversion rate, cost per lead</w:t>
            </w:r>
          </w:p>
        </w:tc>
        <w:tc>
          <w:tcPr>
            <w:tcW w:type="dxa" w:w="381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8FAFC"/>
          </w:tcPr>
          <w:p>
            <w:pPr>
              <w:spacing w:before="0" w:after="0" w:line="245" w:lineRule="auto"/>
            </w:pPr>
            <w:r>
              <w:rPr>
                <w:rFonts w:ascii="Aptos" w:hAnsi="Aptos"/>
                <w:b w:val="0"/>
                <w:i w:val="0"/>
                <w:color w:val="333F4F"/>
                <w:sz w:val="17"/>
              </w:rPr>
              <w:t>Contact form, email log, and Meta Ads Manager; weekly</w:t>
            </w:r>
          </w:p>
        </w:tc>
      </w:tr>
      <w:tr>
        <w:trPr>
          <w:cantSplit/>
        </w:trPr>
        <w:tc>
          <w:tcPr>
            <w:tcW w:type="dxa" w:w="1800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before="0" w:after="0" w:line="245" w:lineRule="auto"/>
            </w:pPr>
            <w:r>
              <w:rPr>
                <w:rFonts w:ascii="Aptos" w:hAnsi="Aptos"/>
                <w:b w:val="0"/>
                <w:i w:val="0"/>
                <w:color w:val="333F4F"/>
                <w:sz w:val="17"/>
              </w:rPr>
              <w:t>Content learning</w:t>
            </w:r>
          </w:p>
        </w:tc>
        <w:tc>
          <w:tcPr>
            <w:tcW w:type="dxa" w:w="3600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before="0" w:after="0" w:line="245" w:lineRule="auto"/>
            </w:pPr>
            <w:r>
              <w:rPr>
                <w:rFonts w:ascii="Aptos" w:hAnsi="Aptos"/>
                <w:b w:val="0"/>
                <w:i w:val="0"/>
                <w:color w:val="333F4F"/>
                <w:sz w:val="17"/>
              </w:rPr>
              <w:t>Top three posts by saves/shares and watch time; weakest hook/format</w:t>
            </w:r>
          </w:p>
        </w:tc>
        <w:tc>
          <w:tcPr>
            <w:tcW w:type="dxa" w:w="381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before="0" w:after="0" w:line="245" w:lineRule="auto"/>
            </w:pPr>
            <w:r>
              <w:rPr>
                <w:rFonts w:ascii="Aptos" w:hAnsi="Aptos"/>
                <w:b w:val="0"/>
                <w:i w:val="0"/>
                <w:color w:val="333F4F"/>
                <w:sz w:val="17"/>
              </w:rPr>
              <w:t>Monthly content review and next-month recommendations</w:t>
            </w:r>
          </w:p>
        </w:tc>
      </w:tr>
    </w:tbl>
    <w:p>
      <w:pPr>
        <w:spacing w:after="20"/>
      </w:pPr>
    </w:p>
    <w:p>
      <w:pPr>
        <w:spacing w:before="0" w:after="120" w:line="259" w:lineRule="auto"/>
      </w:pPr>
      <w:r>
        <w:rPr>
          <w:rFonts w:ascii="Aptos" w:hAnsi="Aptos"/>
          <w:b/>
          <w:i w:val="0"/>
          <w:color w:val="333F4F"/>
          <w:sz w:val="21"/>
        </w:rPr>
        <w:t>Core formulas:</w:t>
      </w:r>
      <w:r>
        <w:rPr>
          <w:rFonts w:ascii="Aptos" w:hAnsi="Aptos"/>
          <w:b w:val="0"/>
          <w:i w:val="0"/>
          <w:color w:val="333F4F"/>
          <w:sz w:val="21"/>
        </w:rPr>
        <w:t xml:space="preserve"> Engagement rate by reach = total engagements / reach x 100. Lead conversion rate = qualified inquiries / social website visits x 100. Cost per lead = paid spend / qualified paid leads.</w:t>
      </w:r>
    </w:p>
    <w:p>
      <w:pPr>
        <w:pStyle w:val="Heading1"/>
        <w:keepNext/>
        <w:spacing w:before="240" w:after="100" w:line="259" w:lineRule="auto"/>
        <w:shd w:fill="FFFBEA"/>
      </w:pPr>
      <w:r>
        <w:rPr>
          <w:rFonts w:ascii="Aptos" w:hAnsi="Aptos"/>
          <w:b/>
          <w:i w:val="0"/>
          <w:color w:val="333F4F"/>
          <w:sz w:val="32"/>
        </w:rPr>
        <w:t>Sources</w:t>
      </w:r>
    </w:p>
    <w:p>
      <w:pPr>
        <w:spacing w:before="0" w:after="60" w:line="240" w:lineRule="auto"/>
      </w:pPr>
      <w:r>
        <w:rPr>
          <w:rFonts w:ascii="Aptos" w:hAnsi="Aptos"/>
          <w:b w:val="0"/>
          <w:i w:val="0"/>
          <w:color w:val="6B7280"/>
          <w:sz w:val="17"/>
        </w:rPr>
        <w:t>[1] Statistics Canada. “Scrolling through the social media stats.” June 25, 2024. https://www.statcan.gc.ca/o1/en/plus/6540-scrolling-through-social-media-stats</w:t>
      </w:r>
    </w:p>
    <w:p>
      <w:pPr>
        <w:spacing w:before="0" w:after="60" w:line="240" w:lineRule="auto"/>
      </w:pPr>
      <w:r>
        <w:rPr>
          <w:rFonts w:ascii="Aptos" w:hAnsi="Aptos"/>
          <w:b w:val="0"/>
          <w:i w:val="0"/>
          <w:color w:val="6B7280"/>
          <w:sz w:val="17"/>
        </w:rPr>
        <w:t>[2] DataReportal. “Digital 2026: Canada.” November 5, 2025. https://datareportal.com/reports/digital-2026-canada</w:t>
      </w:r>
    </w:p>
    <w:p>
      <w:pPr>
        <w:spacing w:before="0" w:after="60" w:line="240" w:lineRule="auto"/>
      </w:pPr>
      <w:r>
        <w:rPr>
          <w:rFonts w:ascii="Aptos" w:hAnsi="Aptos"/>
          <w:b w:val="0"/>
          <w:i w:val="0"/>
          <w:color w:val="6B7280"/>
          <w:sz w:val="17"/>
        </w:rPr>
        <w:t>[3] Pew Research Center. “Americans’ Social Media Use 2025.” November 20, 2025. https://www.pewresearch.org/internet/2025/11/20/americans-social-media-use-2025/</w:t>
      </w:r>
    </w:p>
    <w:p>
      <w:pPr>
        <w:spacing w:before="0" w:after="60" w:line="240" w:lineRule="auto"/>
      </w:pPr>
      <w:r>
        <w:rPr>
          <w:rFonts w:ascii="Aptos" w:hAnsi="Aptos"/>
          <w:b w:val="0"/>
          <w:i w:val="0"/>
          <w:color w:val="6B7280"/>
          <w:sz w:val="17"/>
        </w:rPr>
        <w:t>[4] Nanjing Marketing Group. “A Guide to Rednote Demographics 2025.” January 1, 2026. https://nanjingmarketinggroup.com/blog/rednote-user-demographics</w:t>
      </w:r>
    </w:p>
    <w:p>
      <w:pPr>
        <w:spacing w:before="0" w:after="60" w:line="240" w:lineRule="auto"/>
      </w:pPr>
      <w:r>
        <w:rPr>
          <w:rFonts w:ascii="Aptos" w:hAnsi="Aptos"/>
          <w:b w:val="0"/>
          <w:i w:val="0"/>
          <w:color w:val="6B7280"/>
          <w:sz w:val="17"/>
        </w:rPr>
        <w:t>[5] HeyOrca. “The complete list of 2026 social media holidays.” June 16, 2026. https://www.heyorca.com/blog/social-media-holidays</w:t>
      </w:r>
    </w:p>
    <w:sectPr w:rsidR="00F658ED" w:rsidRPr="00090CC5">
      <w:footerReference w:type="default" r:id="rId8"/>
      <w:footerReference w:type="first" r:id="rId9"/>
      <w:pgSz w:w="12240" w:h="15840"/>
      <w:pgMar w:top="1037" w:right="1123" w:bottom="979" w:left="1123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i w:val="0"/>
        <w:color w:val="6B7280"/>
        <w:sz w:val="18"/>
      </w:rPr>
      <w:fldChar w:fldCharType="begin"/>
      <w:instrText xml:space="preserve"> PAGE </w:instrTex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667E52"/>
    <w:multiLevelType w:val="hybridMultilevel"/>
    <w:tmpl w:val="B7720B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3263F1"/>
    <w:multiLevelType w:val="hybridMultilevel"/>
    <w:tmpl w:val="A69E6C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BE653A"/>
    <w:multiLevelType w:val="hybridMultilevel"/>
    <w:tmpl w:val="1ED653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abstractNum w:abstractNumId="3">
    <w:multiLevelType w:val="singleLevel"/>
    <w:lvl w:ilvl="0">
      <w:start w:val="1"/>
      <w:numFmt w:val="bullet"/>
      <w:lvlText w:val="•"/>
      <w:suff w:val="tab"/>
      <w:pPr>
        <w:tabs>
          <w:tab w:val="num" w:pos="480"/>
        </w:tabs>
        <w:ind w:left="480" w:hanging="240"/>
      </w:pPr>
    </w:lvl>
  </w:abstract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A88"/>
    <w:rsid w:val="00090CC5"/>
    <w:rsid w:val="002A5822"/>
    <w:rsid w:val="00317A32"/>
    <w:rsid w:val="00450E0C"/>
    <w:rsid w:val="004743A4"/>
    <w:rsid w:val="00517961"/>
    <w:rsid w:val="00753FB8"/>
    <w:rsid w:val="00761CCB"/>
    <w:rsid w:val="0081412E"/>
    <w:rsid w:val="00853136"/>
    <w:rsid w:val="00853A88"/>
    <w:rsid w:val="008650A8"/>
    <w:rsid w:val="008C6A9C"/>
    <w:rsid w:val="00B56965"/>
    <w:rsid w:val="00C94A48"/>
    <w:rsid w:val="00DE3791"/>
    <w:rsid w:val="00E852C0"/>
    <w:rsid w:val="00F65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1BD78D"/>
  <w15:chartTrackingRefBased/>
  <w15:docId w15:val="{703F6B00-8005-4968-901E-D30C3CB7D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ptos" w:hAnsi="Aptos"/>
      <w:color w:val="333F4F"/>
      <w:sz w:val="21"/>
    </w:rPr>
  </w:style>
  <w:style w:type="paragraph" w:styleId="Heading3">
    <w:name w:val="heading 3"/>
    <w:basedOn w:val="Normal"/>
    <w:link w:val="Heading3Char"/>
    <w:uiPriority w:val="9"/>
    <w:qFormat/>
    <w:rsid w:val="00853A8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853A88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853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53A88"/>
    <w:rPr>
      <w:b/>
      <w:bCs/>
    </w:rPr>
  </w:style>
  <w:style w:type="paragraph" w:styleId="ListParagraph">
    <w:name w:val="List Paragraph"/>
    <w:basedOn w:val="Normal"/>
    <w:uiPriority w:val="34"/>
    <w:qFormat/>
    <w:rsid w:val="008C6A9C"/>
    <w:pPr>
      <w:ind w:left="720"/>
      <w:contextualSpacing/>
    </w:pPr>
  </w:style>
  <w:style w:type="paragraph" w:customStyle="1" w:styleId="Heading1">
    <w:name w:val="heading 1"/>
    <w:rPr>
      <w:rFonts w:ascii="Aptos Display" w:hAnsi="Aptos Display"/>
      <w:b/>
      <w:color w:val="333F4F"/>
      <w:sz w:val="32"/>
    </w:rPr>
  </w:style>
  <w:style w:type="paragraph" w:customStyle="1" w:styleId="Heading2">
    <w:name w:val="heading 2"/>
    <w:rPr>
      <w:rFonts w:ascii="Aptos Display" w:hAnsi="Aptos Display"/>
      <w:b/>
      <w:color w:val="333F4F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646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Yuniq Social Media Marketing Plan</dc:title>
  <dc:subject>September 2026 social media strategy</dc:subject>
  <dc:creator>Yunjing (Hannah) Zhang</dc:creator>
  <cp:keywords/>
  <dc:description/>
  <cp:lastModifiedBy>Tyler Zurowski</cp:lastModifiedBy>
  <cp:revision>9</cp:revision>
  <dcterms:created xsi:type="dcterms:W3CDTF">2026-02-25T21:07:00Z</dcterms:created>
  <dcterms:modified xsi:type="dcterms:W3CDTF">2026-02-25T21:51:00Z</dcterms:modified>
</cp:coreProperties>
</file>